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B9E47" w14:textId="77777777" w:rsidR="00830D61" w:rsidRPr="009C6FED" w:rsidRDefault="00830D61" w:rsidP="00830D61">
      <w:pPr>
        <w:spacing w:line="240" w:lineRule="auto"/>
        <w:rPr>
          <w:rFonts w:cstheme="minorHAnsi"/>
          <w:b/>
          <w:bCs/>
          <w:i/>
          <w:iCs/>
          <w:sz w:val="32"/>
          <w:szCs w:val="32"/>
        </w:rPr>
      </w:pPr>
      <w:r w:rsidRPr="009C6FED">
        <w:rPr>
          <w:rFonts w:cstheme="minorHAnsi"/>
          <w:b/>
          <w:bCs/>
          <w:i/>
          <w:iCs/>
          <w:sz w:val="32"/>
          <w:szCs w:val="32"/>
        </w:rPr>
        <w:t xml:space="preserve">CDI COVID-19 Survival Toolkit: Unraveling Cytokine Storms with Secondary Hemophagocytic </w:t>
      </w:r>
      <w:proofErr w:type="spellStart"/>
      <w:r w:rsidRPr="009C6FED">
        <w:rPr>
          <w:rFonts w:cstheme="minorHAnsi"/>
          <w:b/>
          <w:bCs/>
          <w:i/>
          <w:iCs/>
          <w:sz w:val="32"/>
          <w:szCs w:val="32"/>
        </w:rPr>
        <w:t>Lymphohistiocytosis</w:t>
      </w:r>
      <w:proofErr w:type="spellEnd"/>
    </w:p>
    <w:p w14:paraId="7A940B6A" w14:textId="77777777" w:rsidR="00830D61" w:rsidRPr="009C6FED" w:rsidRDefault="00830D61" w:rsidP="00830D61">
      <w:pPr>
        <w:spacing w:line="240" w:lineRule="auto"/>
        <w:rPr>
          <w:rFonts w:cstheme="minorHAnsi"/>
          <w:i/>
          <w:iCs/>
        </w:rPr>
      </w:pPr>
      <w:r w:rsidRPr="009C6FED">
        <w:rPr>
          <w:rFonts w:cstheme="minorHAnsi"/>
          <w:i/>
          <w:iCs/>
        </w:rPr>
        <w:t>by Dawn Valdez, RN, LNC, CCDS</w:t>
      </w:r>
    </w:p>
    <w:p w14:paraId="1C86EB01" w14:textId="77777777" w:rsidR="00830D61" w:rsidRPr="009C6FED" w:rsidRDefault="00830D61" w:rsidP="00830D61">
      <w:pPr>
        <w:spacing w:line="240" w:lineRule="auto"/>
        <w:rPr>
          <w:rFonts w:cstheme="minorHAnsi"/>
        </w:rPr>
      </w:pPr>
      <w:r w:rsidRPr="009C6FED">
        <w:rPr>
          <w:rFonts w:cstheme="minorHAnsi"/>
        </w:rPr>
        <w:t>The term “cytokine storm” describes a process that begins when the immune system overreacts and triggers the inflammatory response, which spins out of control and can ultimately lead to multi-organ failure and death.</w:t>
      </w:r>
    </w:p>
    <w:p w14:paraId="7EF244D3" w14:textId="77777777" w:rsidR="00830D61" w:rsidRPr="009C6FED" w:rsidRDefault="00830D61" w:rsidP="00830D61">
      <w:pPr>
        <w:spacing w:line="240" w:lineRule="auto"/>
        <w:rPr>
          <w:rFonts w:cstheme="minorHAnsi"/>
          <w:b/>
          <w:bCs/>
          <w:i/>
          <w:iCs/>
          <w:sz w:val="28"/>
          <w:szCs w:val="28"/>
        </w:rPr>
      </w:pPr>
      <w:r w:rsidRPr="009C6FED">
        <w:rPr>
          <w:rFonts w:cstheme="minorHAnsi"/>
          <w:b/>
          <w:bCs/>
          <w:i/>
          <w:iCs/>
          <w:sz w:val="28"/>
          <w:szCs w:val="28"/>
        </w:rPr>
        <w:t xml:space="preserve">What are </w:t>
      </w:r>
      <w:r>
        <w:rPr>
          <w:rFonts w:cstheme="minorHAnsi"/>
          <w:b/>
          <w:bCs/>
          <w:i/>
          <w:iCs/>
          <w:sz w:val="28"/>
          <w:szCs w:val="28"/>
        </w:rPr>
        <w:t>c</w:t>
      </w:r>
      <w:r w:rsidRPr="009C6FED">
        <w:rPr>
          <w:rFonts w:cstheme="minorHAnsi"/>
          <w:b/>
          <w:bCs/>
          <w:i/>
          <w:iCs/>
          <w:sz w:val="28"/>
          <w:szCs w:val="28"/>
        </w:rPr>
        <w:t>ytokines?</w:t>
      </w:r>
    </w:p>
    <w:p w14:paraId="2F474D16" w14:textId="77777777" w:rsidR="00830D61" w:rsidRPr="009C6FED" w:rsidRDefault="00830D61" w:rsidP="00830D61">
      <w:pPr>
        <w:spacing w:line="240" w:lineRule="auto"/>
        <w:rPr>
          <w:rFonts w:eastAsia="Times New Roman" w:cstheme="minorHAnsi"/>
          <w:lang w:val="en"/>
        </w:rPr>
      </w:pPr>
      <w:r w:rsidRPr="009C6FED">
        <w:rPr>
          <w:rFonts w:eastAsia="Times New Roman" w:cstheme="minorHAnsi"/>
          <w:lang w:val="en"/>
        </w:rPr>
        <w:t xml:space="preserve">Cytokines are small proteins that act to </w:t>
      </w:r>
      <w:r w:rsidRPr="009C6FED">
        <w:rPr>
          <w:rFonts w:eastAsia="Times New Roman" w:cstheme="minorHAnsi"/>
        </w:rPr>
        <w:t>initiate immune responses while also stimulating the cells to move towards sites of inflammation, infection and trauma.</w:t>
      </w:r>
      <w:r>
        <w:rPr>
          <w:rFonts w:eastAsia="Times New Roman" w:cstheme="minorHAnsi"/>
        </w:rPr>
        <w:t xml:space="preserve"> </w:t>
      </w:r>
      <w:r w:rsidRPr="009C6FED">
        <w:rPr>
          <w:rFonts w:eastAsia="Times New Roman" w:cstheme="minorHAnsi"/>
          <w:lang w:val="en"/>
        </w:rPr>
        <w:t>Cytokines help to fight off infections and can act to ward off cancer cells and therefore, are designed to work for us, not against us.</w:t>
      </w:r>
    </w:p>
    <w:p w14:paraId="5D651756" w14:textId="77777777" w:rsidR="00830D61" w:rsidRPr="009C6FED" w:rsidRDefault="00830D61" w:rsidP="00830D61">
      <w:pPr>
        <w:spacing w:line="240" w:lineRule="auto"/>
        <w:rPr>
          <w:rFonts w:eastAsia="Times New Roman" w:cstheme="minorHAnsi"/>
          <w:b/>
          <w:bCs/>
          <w:i/>
          <w:iCs/>
          <w:sz w:val="28"/>
          <w:szCs w:val="28"/>
          <w:lang w:val="en"/>
        </w:rPr>
      </w:pPr>
      <w:r w:rsidRPr="009C6FED">
        <w:rPr>
          <w:rFonts w:eastAsia="Times New Roman" w:cstheme="minorHAnsi"/>
          <w:b/>
          <w:bCs/>
          <w:i/>
          <w:iCs/>
          <w:sz w:val="28"/>
          <w:szCs w:val="28"/>
        </w:rPr>
        <w:t xml:space="preserve">The </w:t>
      </w:r>
      <w:r>
        <w:rPr>
          <w:rFonts w:eastAsia="Times New Roman" w:cstheme="minorHAnsi"/>
          <w:b/>
          <w:bCs/>
          <w:i/>
          <w:iCs/>
          <w:sz w:val="28"/>
          <w:szCs w:val="28"/>
        </w:rPr>
        <w:t>c</w:t>
      </w:r>
      <w:r w:rsidRPr="009C6FED">
        <w:rPr>
          <w:rFonts w:eastAsia="Times New Roman" w:cstheme="minorHAnsi"/>
          <w:b/>
          <w:bCs/>
          <w:i/>
          <w:iCs/>
          <w:sz w:val="28"/>
          <w:szCs w:val="28"/>
        </w:rPr>
        <w:t xml:space="preserve">ytokine </w:t>
      </w:r>
      <w:proofErr w:type="gramStart"/>
      <w:r>
        <w:rPr>
          <w:rFonts w:eastAsia="Times New Roman" w:cstheme="minorHAnsi"/>
          <w:b/>
          <w:bCs/>
          <w:i/>
          <w:iCs/>
          <w:sz w:val="28"/>
          <w:szCs w:val="28"/>
        </w:rPr>
        <w:t>s</w:t>
      </w:r>
      <w:r w:rsidRPr="009C6FED">
        <w:rPr>
          <w:rFonts w:eastAsia="Times New Roman" w:cstheme="minorHAnsi"/>
          <w:b/>
          <w:bCs/>
          <w:i/>
          <w:iCs/>
          <w:sz w:val="28"/>
          <w:szCs w:val="28"/>
        </w:rPr>
        <w:t>torm</w:t>
      </w:r>
      <w:proofErr w:type="gramEnd"/>
    </w:p>
    <w:p w14:paraId="0A3D2FFD" w14:textId="72C98BDD" w:rsidR="00830D61" w:rsidRPr="009C6FED" w:rsidRDefault="00830D61" w:rsidP="00830D61">
      <w:pPr>
        <w:spacing w:line="240" w:lineRule="auto"/>
        <w:rPr>
          <w:rFonts w:eastAsia="Times New Roman" w:cstheme="minorHAnsi"/>
          <w:lang w:val="en"/>
        </w:rPr>
      </w:pPr>
      <w:r w:rsidRPr="009C6FED">
        <w:rPr>
          <w:rFonts w:eastAsia="Times New Roman" w:cstheme="minorHAnsi"/>
          <w:lang w:val="en"/>
        </w:rPr>
        <w:t>Known as “cytokine release syndrome” (</w:t>
      </w:r>
      <w:r w:rsidR="00637F88">
        <w:rPr>
          <w:rFonts w:eastAsia="Times New Roman" w:cstheme="minorHAnsi"/>
          <w:lang w:val="en"/>
        </w:rPr>
        <w:t>CRS</w:t>
      </w:r>
      <w:bookmarkStart w:id="0" w:name="_GoBack"/>
      <w:bookmarkEnd w:id="0"/>
      <w:r w:rsidRPr="009C6FED">
        <w:rPr>
          <w:rFonts w:eastAsia="Times New Roman" w:cstheme="minorHAnsi"/>
          <w:lang w:val="en"/>
        </w:rPr>
        <w:t>), a cytokine storm is a toxic process that occurs when cytokines act beyond what they are meant for.</w:t>
      </w:r>
      <w:r>
        <w:rPr>
          <w:rFonts w:eastAsia="Times New Roman" w:cstheme="minorHAnsi"/>
          <w:lang w:val="en"/>
        </w:rPr>
        <w:t xml:space="preserve"> </w:t>
      </w:r>
      <w:r w:rsidRPr="009C6FED">
        <w:rPr>
          <w:rFonts w:eastAsia="Times New Roman" w:cstheme="minorHAnsi"/>
          <w:lang w:val="en"/>
        </w:rPr>
        <w:t>To put it simply, it’s an over-reaction of the immune response that doesn’t turn off when the threat is over.</w:t>
      </w:r>
      <w:r>
        <w:rPr>
          <w:rFonts w:eastAsia="Times New Roman" w:cstheme="minorHAnsi"/>
          <w:lang w:val="en"/>
        </w:rPr>
        <w:t xml:space="preserve"> </w:t>
      </w:r>
    </w:p>
    <w:p w14:paraId="6866A60B" w14:textId="77777777" w:rsidR="00830D61" w:rsidRPr="009C6FED" w:rsidRDefault="00830D61" w:rsidP="00830D61">
      <w:pPr>
        <w:spacing w:line="240" w:lineRule="auto"/>
        <w:rPr>
          <w:rFonts w:eastAsia="Times New Roman" w:cstheme="minorHAnsi"/>
          <w:lang w:val="en"/>
        </w:rPr>
      </w:pPr>
      <w:r w:rsidRPr="009C6FED">
        <w:rPr>
          <w:rFonts w:eastAsia="Times New Roman" w:cstheme="minorHAnsi"/>
          <w:lang w:val="en"/>
        </w:rPr>
        <w:t>There are many triggers for the initiation of a cytokine storm such as infections (both viral and bacterial), rheumatic diseases such as lupus and certain types of blood cancers.</w:t>
      </w:r>
    </w:p>
    <w:p w14:paraId="44FCE97C" w14:textId="77777777" w:rsidR="00830D61" w:rsidRPr="009C6FED" w:rsidRDefault="00830D61" w:rsidP="00830D61">
      <w:pPr>
        <w:spacing w:line="240" w:lineRule="auto"/>
        <w:rPr>
          <w:rFonts w:eastAsia="Times New Roman" w:cstheme="minorHAnsi"/>
          <w:lang w:val="en"/>
        </w:rPr>
      </w:pPr>
      <w:r w:rsidRPr="009C6FED">
        <w:rPr>
          <w:rFonts w:eastAsia="Times New Roman" w:cstheme="minorHAnsi"/>
          <w:lang w:val="en"/>
        </w:rPr>
        <w:t xml:space="preserve">Most importantly, cytokine storms can develop in many conditions such as </w:t>
      </w:r>
      <w:r>
        <w:rPr>
          <w:rFonts w:eastAsia="Times New Roman" w:cstheme="minorHAnsi"/>
          <w:lang w:val="en"/>
        </w:rPr>
        <w:t>systemic inflammatory response syndrome (</w:t>
      </w:r>
      <w:r w:rsidRPr="009C6FED">
        <w:rPr>
          <w:rFonts w:eastAsia="Times New Roman" w:cstheme="minorHAnsi"/>
          <w:lang w:val="en"/>
        </w:rPr>
        <w:t>SIRS</w:t>
      </w:r>
      <w:r>
        <w:rPr>
          <w:rFonts w:eastAsia="Times New Roman" w:cstheme="minorHAnsi"/>
          <w:lang w:val="en"/>
        </w:rPr>
        <w:t>)</w:t>
      </w:r>
      <w:r w:rsidRPr="009C6FED">
        <w:rPr>
          <w:rFonts w:eastAsia="Times New Roman" w:cstheme="minorHAnsi"/>
          <w:lang w:val="en"/>
        </w:rPr>
        <w:t xml:space="preserve">, sepsis, secondary </w:t>
      </w:r>
      <w:proofErr w:type="spellStart"/>
      <w:r w:rsidRPr="009C6FED">
        <w:rPr>
          <w:rFonts w:eastAsia="Times New Roman" w:cstheme="minorHAnsi"/>
          <w:lang w:val="en"/>
        </w:rPr>
        <w:t>hemophagoctyic</w:t>
      </w:r>
      <w:proofErr w:type="spellEnd"/>
      <w:r w:rsidRPr="009C6FED">
        <w:rPr>
          <w:rFonts w:eastAsia="Times New Roman" w:cstheme="minorHAnsi"/>
          <w:lang w:val="en"/>
        </w:rPr>
        <w:t xml:space="preserve"> </w:t>
      </w:r>
      <w:proofErr w:type="spellStart"/>
      <w:r w:rsidRPr="009C6FED">
        <w:rPr>
          <w:rFonts w:eastAsia="Times New Roman" w:cstheme="minorHAnsi"/>
          <w:lang w:val="en"/>
        </w:rPr>
        <w:t>lymphohistiocytosis</w:t>
      </w:r>
      <w:proofErr w:type="spellEnd"/>
      <w:r w:rsidRPr="009C6FED">
        <w:rPr>
          <w:rFonts w:eastAsia="Times New Roman" w:cstheme="minorHAnsi"/>
          <w:lang w:val="en"/>
        </w:rPr>
        <w:t xml:space="preserve"> (</w:t>
      </w:r>
      <w:proofErr w:type="spellStart"/>
      <w:r w:rsidRPr="009C6FED">
        <w:rPr>
          <w:rFonts w:eastAsia="Times New Roman" w:cstheme="minorHAnsi"/>
          <w:lang w:val="en"/>
        </w:rPr>
        <w:t>sHLH</w:t>
      </w:r>
      <w:proofErr w:type="spellEnd"/>
      <w:r w:rsidRPr="009C6FED">
        <w:rPr>
          <w:rFonts w:eastAsia="Times New Roman" w:cstheme="minorHAnsi"/>
          <w:lang w:val="en"/>
        </w:rPr>
        <w:t>), macrophage activation syndrome (MAS) and tumor lysis syndrome.</w:t>
      </w:r>
      <w:r>
        <w:rPr>
          <w:rFonts w:eastAsia="Times New Roman" w:cstheme="minorHAnsi"/>
          <w:lang w:val="en"/>
        </w:rPr>
        <w:t xml:space="preserve"> </w:t>
      </w:r>
      <w:r w:rsidRPr="009C6FED">
        <w:rPr>
          <w:rFonts w:eastAsia="Times New Roman" w:cstheme="minorHAnsi"/>
          <w:i/>
          <w:iCs/>
          <w:lang w:val="en"/>
        </w:rPr>
        <w:t>The key is appropriate identification of the condition the storm is causing.</w:t>
      </w:r>
    </w:p>
    <w:p w14:paraId="35960CB2" w14:textId="77777777" w:rsidR="00830D61" w:rsidRPr="009C6FED" w:rsidRDefault="00830D61" w:rsidP="00830D61">
      <w:pPr>
        <w:spacing w:line="240" w:lineRule="auto"/>
        <w:rPr>
          <w:rFonts w:eastAsia="Times New Roman" w:cstheme="minorHAnsi"/>
          <w:b/>
          <w:bCs/>
          <w:i/>
          <w:iCs/>
          <w:color w:val="000000"/>
          <w:sz w:val="28"/>
          <w:szCs w:val="28"/>
          <w:lang w:val="en-GB"/>
        </w:rPr>
      </w:pPr>
      <w:r w:rsidRPr="009C6FED">
        <w:rPr>
          <w:rFonts w:eastAsia="Times New Roman" w:cstheme="minorHAnsi"/>
          <w:b/>
          <w:bCs/>
          <w:i/>
          <w:iCs/>
          <w:color w:val="000000"/>
          <w:sz w:val="28"/>
          <w:szCs w:val="28"/>
          <w:lang w:val="en-GB"/>
        </w:rPr>
        <w:t xml:space="preserve">COVID-19 and </w:t>
      </w:r>
      <w:r>
        <w:rPr>
          <w:rFonts w:eastAsia="Times New Roman" w:cstheme="minorHAnsi"/>
          <w:b/>
          <w:bCs/>
          <w:i/>
          <w:iCs/>
          <w:color w:val="000000"/>
          <w:sz w:val="28"/>
          <w:szCs w:val="28"/>
          <w:lang w:val="en-GB"/>
        </w:rPr>
        <w:t>s</w:t>
      </w:r>
      <w:r w:rsidRPr="009C6FED">
        <w:rPr>
          <w:rFonts w:eastAsia="Times New Roman" w:cstheme="minorHAnsi"/>
          <w:b/>
          <w:bCs/>
          <w:i/>
          <w:iCs/>
          <w:color w:val="000000"/>
          <w:sz w:val="28"/>
          <w:szCs w:val="28"/>
          <w:lang w:val="en-GB"/>
        </w:rPr>
        <w:t xml:space="preserve">econdary </w:t>
      </w:r>
      <w:r>
        <w:rPr>
          <w:rFonts w:eastAsia="Times New Roman" w:cstheme="minorHAnsi"/>
          <w:b/>
          <w:bCs/>
          <w:i/>
          <w:iCs/>
          <w:color w:val="000000"/>
          <w:sz w:val="28"/>
          <w:szCs w:val="28"/>
          <w:lang w:val="en-GB"/>
        </w:rPr>
        <w:t>h</w:t>
      </w:r>
      <w:r w:rsidRPr="009C6FED">
        <w:rPr>
          <w:rFonts w:eastAsia="Times New Roman" w:cstheme="minorHAnsi"/>
          <w:b/>
          <w:bCs/>
          <w:i/>
          <w:iCs/>
          <w:color w:val="000000"/>
          <w:sz w:val="28"/>
          <w:szCs w:val="28"/>
          <w:lang w:val="en-GB"/>
        </w:rPr>
        <w:t xml:space="preserve">emophagocytic </w:t>
      </w:r>
      <w:proofErr w:type="spellStart"/>
      <w:r>
        <w:rPr>
          <w:rFonts w:eastAsia="Times New Roman" w:cstheme="minorHAnsi"/>
          <w:b/>
          <w:bCs/>
          <w:i/>
          <w:iCs/>
          <w:color w:val="000000"/>
          <w:sz w:val="28"/>
          <w:szCs w:val="28"/>
          <w:lang w:val="en-GB"/>
        </w:rPr>
        <w:t>l</w:t>
      </w:r>
      <w:r w:rsidRPr="009C6FED">
        <w:rPr>
          <w:rFonts w:eastAsia="Times New Roman" w:cstheme="minorHAnsi"/>
          <w:b/>
          <w:bCs/>
          <w:i/>
          <w:iCs/>
          <w:color w:val="000000"/>
          <w:sz w:val="28"/>
          <w:szCs w:val="28"/>
          <w:lang w:val="en-GB"/>
        </w:rPr>
        <w:t>ymphohistiocytosis</w:t>
      </w:r>
      <w:proofErr w:type="spellEnd"/>
      <w:r>
        <w:rPr>
          <w:rFonts w:eastAsia="Times New Roman" w:cstheme="minorHAnsi"/>
          <w:b/>
          <w:bCs/>
          <w:i/>
          <w:iCs/>
          <w:color w:val="000000"/>
          <w:sz w:val="28"/>
          <w:szCs w:val="28"/>
          <w:lang w:val="en-GB"/>
        </w:rPr>
        <w:t xml:space="preserve"> (</w:t>
      </w:r>
      <w:proofErr w:type="spellStart"/>
      <w:r>
        <w:rPr>
          <w:rFonts w:eastAsia="Times New Roman" w:cstheme="minorHAnsi"/>
          <w:b/>
          <w:bCs/>
          <w:i/>
          <w:iCs/>
          <w:color w:val="000000"/>
          <w:sz w:val="28"/>
          <w:szCs w:val="28"/>
          <w:lang w:val="en-GB"/>
        </w:rPr>
        <w:t>sHLH</w:t>
      </w:r>
      <w:proofErr w:type="spellEnd"/>
      <w:r>
        <w:rPr>
          <w:rFonts w:eastAsia="Times New Roman" w:cstheme="minorHAnsi"/>
          <w:b/>
          <w:bCs/>
          <w:i/>
          <w:iCs/>
          <w:color w:val="000000"/>
          <w:sz w:val="28"/>
          <w:szCs w:val="28"/>
          <w:lang w:val="en-GB"/>
        </w:rPr>
        <w:t>)</w:t>
      </w:r>
    </w:p>
    <w:p w14:paraId="5871C98D" w14:textId="77777777" w:rsidR="00830D61" w:rsidRPr="009C6FED" w:rsidRDefault="00830D61" w:rsidP="00830D61">
      <w:pPr>
        <w:spacing w:line="240" w:lineRule="auto"/>
        <w:rPr>
          <w:rFonts w:cstheme="minorHAnsi"/>
          <w:lang w:val="en"/>
        </w:rPr>
      </w:pPr>
      <w:r w:rsidRPr="009C6FED">
        <w:rPr>
          <w:rFonts w:eastAsia="Times New Roman" w:cstheme="minorHAnsi"/>
          <w:color w:val="000000"/>
          <w:lang w:val="en-GB"/>
        </w:rPr>
        <w:t xml:space="preserve">An article from </w:t>
      </w:r>
      <w:r w:rsidRPr="009714C9">
        <w:rPr>
          <w:rFonts w:eastAsia="Times New Roman" w:cstheme="minorHAnsi"/>
          <w:i/>
          <w:iCs/>
          <w:color w:val="000000"/>
          <w:lang w:val="en-GB"/>
        </w:rPr>
        <w:t>The Lancet</w:t>
      </w:r>
      <w:r w:rsidRPr="009C6FED">
        <w:rPr>
          <w:rFonts w:eastAsia="Times New Roman" w:cstheme="minorHAnsi"/>
          <w:color w:val="000000"/>
          <w:lang w:val="en-GB"/>
        </w:rPr>
        <w:t xml:space="preserve"> published on March 16, 2020, “</w:t>
      </w:r>
      <w:hyperlink r:id="rId7" w:history="1">
        <w:r w:rsidRPr="009714C9">
          <w:rPr>
            <w:rStyle w:val="Hyperlink"/>
            <w:rFonts w:eastAsia="Times New Roman" w:cstheme="minorHAnsi"/>
            <w:lang w:val="en-GB"/>
          </w:rPr>
          <w:t>COVID-19: Consider Cytokine Storm Syndrome and Immunosuppression</w:t>
        </w:r>
      </w:hyperlink>
      <w:r w:rsidRPr="009C6FED">
        <w:rPr>
          <w:rFonts w:eastAsia="Times New Roman" w:cstheme="minorHAnsi"/>
          <w:color w:val="000000"/>
          <w:lang w:val="en-GB"/>
        </w:rPr>
        <w:t xml:space="preserve">” </w:t>
      </w:r>
      <w:r>
        <w:rPr>
          <w:rFonts w:eastAsia="Times New Roman" w:cstheme="minorHAnsi"/>
          <w:lang w:val="en-GB"/>
        </w:rPr>
        <w:t>says</w:t>
      </w:r>
      <w:r w:rsidRPr="009714C9">
        <w:rPr>
          <w:rFonts w:eastAsia="Times New Roman" w:cstheme="minorHAnsi"/>
          <w:lang w:val="en-GB"/>
        </w:rPr>
        <w:t xml:space="preserve"> the following: “</w:t>
      </w:r>
      <w:r w:rsidRPr="009714C9">
        <w:rPr>
          <w:rFonts w:cstheme="minorHAnsi"/>
          <w:lang w:val="en"/>
        </w:rPr>
        <w:t xml:space="preserve">Accumulating evidence suggests that a subgroup of patients with severe COVID-19 might have a cytokine storm syndrome.” This article brings </w:t>
      </w:r>
      <w:proofErr w:type="spellStart"/>
      <w:r w:rsidRPr="009714C9">
        <w:rPr>
          <w:rFonts w:cstheme="minorHAnsi"/>
          <w:lang w:val="en"/>
        </w:rPr>
        <w:t>sHLH</w:t>
      </w:r>
      <w:proofErr w:type="spellEnd"/>
      <w:r w:rsidRPr="009714C9">
        <w:rPr>
          <w:rFonts w:cstheme="minorHAnsi"/>
          <w:lang w:val="en"/>
        </w:rPr>
        <w:t xml:space="preserve"> to the forefront stating that it is an often an under-diagnosed </w:t>
      </w:r>
      <w:r w:rsidRPr="009C6FED">
        <w:rPr>
          <w:rFonts w:cstheme="minorHAnsi"/>
          <w:lang w:val="en"/>
        </w:rPr>
        <w:t>condition that could very well be playing a major role in the mortality rate for COVID-19 patients.</w:t>
      </w:r>
    </w:p>
    <w:p w14:paraId="204E0B9A" w14:textId="77777777" w:rsidR="00830D61" w:rsidRPr="009C6FED" w:rsidRDefault="00830D61" w:rsidP="00830D61">
      <w:pPr>
        <w:spacing w:line="240" w:lineRule="auto"/>
        <w:rPr>
          <w:rFonts w:eastAsia="Times New Roman" w:cstheme="minorHAnsi"/>
          <w:b/>
          <w:bCs/>
          <w:i/>
          <w:iCs/>
          <w:color w:val="000000"/>
          <w:sz w:val="28"/>
          <w:szCs w:val="28"/>
          <w:lang w:val="en-GB"/>
        </w:rPr>
      </w:pPr>
      <w:proofErr w:type="spellStart"/>
      <w:r w:rsidRPr="009C6FED">
        <w:rPr>
          <w:rFonts w:cstheme="minorHAnsi"/>
          <w:b/>
          <w:bCs/>
          <w:i/>
          <w:iCs/>
          <w:sz w:val="28"/>
          <w:szCs w:val="28"/>
          <w:lang w:val="en"/>
        </w:rPr>
        <w:t>sHLH</w:t>
      </w:r>
      <w:proofErr w:type="spellEnd"/>
    </w:p>
    <w:p w14:paraId="6D1FE391" w14:textId="77777777" w:rsidR="00830D61" w:rsidRPr="009C6FED" w:rsidRDefault="00830D61" w:rsidP="00830D61">
      <w:pPr>
        <w:spacing w:line="240" w:lineRule="auto"/>
        <w:rPr>
          <w:rFonts w:cstheme="minorHAnsi"/>
        </w:rPr>
      </w:pPr>
      <w:bookmarkStart w:id="1" w:name="_Hlk36668283"/>
      <w:r w:rsidRPr="009C6FED">
        <w:rPr>
          <w:rFonts w:cstheme="minorHAnsi"/>
        </w:rPr>
        <w:t xml:space="preserve">There are </w:t>
      </w:r>
      <w:proofErr w:type="gramStart"/>
      <w:r w:rsidRPr="009C6FED">
        <w:rPr>
          <w:rFonts w:cstheme="minorHAnsi"/>
        </w:rPr>
        <w:t>actually two</w:t>
      </w:r>
      <w:proofErr w:type="gramEnd"/>
      <w:r w:rsidRPr="009C6FED">
        <w:rPr>
          <w:rFonts w:cstheme="minorHAnsi"/>
        </w:rPr>
        <w:t xml:space="preserve"> types of hemophagocytic </w:t>
      </w:r>
      <w:proofErr w:type="spellStart"/>
      <w:r w:rsidRPr="009C6FED">
        <w:rPr>
          <w:rFonts w:cstheme="minorHAnsi"/>
        </w:rPr>
        <w:t>lymphohistiocytosis</w:t>
      </w:r>
      <w:proofErr w:type="spellEnd"/>
      <w:r w:rsidRPr="009C6FED">
        <w:rPr>
          <w:rFonts w:cstheme="minorHAnsi"/>
        </w:rPr>
        <w:t xml:space="preserve">, one that affects the pediatric population (HLH) and one that affects the adult population </w:t>
      </w:r>
      <w:r>
        <w:rPr>
          <w:rFonts w:cstheme="minorHAnsi"/>
        </w:rPr>
        <w:t>(</w:t>
      </w:r>
      <w:proofErr w:type="spellStart"/>
      <w:r w:rsidRPr="009C6FED">
        <w:rPr>
          <w:rFonts w:cstheme="minorHAnsi"/>
        </w:rPr>
        <w:t>sHLH</w:t>
      </w:r>
      <w:proofErr w:type="spellEnd"/>
      <w:r>
        <w:rPr>
          <w:rFonts w:cstheme="minorHAnsi"/>
        </w:rPr>
        <w:t>)</w:t>
      </w:r>
      <w:bookmarkEnd w:id="1"/>
      <w:r>
        <w:rPr>
          <w:rFonts w:cstheme="minorHAnsi"/>
        </w:rPr>
        <w:t>.</w:t>
      </w:r>
    </w:p>
    <w:p w14:paraId="7B6A1C98" w14:textId="77777777" w:rsidR="00830D61" w:rsidRDefault="00830D61" w:rsidP="00830D61">
      <w:pPr>
        <w:spacing w:line="240" w:lineRule="auto"/>
        <w:rPr>
          <w:rFonts w:cstheme="minorHAnsi"/>
        </w:rPr>
      </w:pPr>
      <w:r w:rsidRPr="009C6FED">
        <w:rPr>
          <w:rFonts w:cstheme="minorHAnsi"/>
        </w:rPr>
        <w:t xml:space="preserve">In </w:t>
      </w:r>
      <w:hyperlink r:id="rId8" w:history="1">
        <w:r w:rsidRPr="009714C9">
          <w:rPr>
            <w:rStyle w:val="Hyperlink"/>
            <w:rFonts w:cstheme="minorHAnsi"/>
          </w:rPr>
          <w:t xml:space="preserve">the April 1, 2020, episode of the </w:t>
        </w:r>
        <w:r w:rsidRPr="009714C9">
          <w:rPr>
            <w:rStyle w:val="Hyperlink"/>
            <w:rFonts w:cstheme="minorHAnsi"/>
            <w:i/>
            <w:iCs/>
          </w:rPr>
          <w:t>ACDIS Podcast: Talking CDI</w:t>
        </w:r>
      </w:hyperlink>
      <w:r w:rsidRPr="009C6FED">
        <w:rPr>
          <w:rFonts w:cstheme="minorHAnsi"/>
        </w:rPr>
        <w:t>, Cesar Limjoco</w:t>
      </w:r>
      <w:r>
        <w:rPr>
          <w:rFonts w:cstheme="minorHAnsi"/>
        </w:rPr>
        <w:t>, MD,</w:t>
      </w:r>
      <w:r w:rsidRPr="009C6FED">
        <w:rPr>
          <w:rFonts w:cstheme="minorHAnsi"/>
        </w:rPr>
        <w:t xml:space="preserve"> described </w:t>
      </w:r>
      <w:proofErr w:type="spellStart"/>
      <w:r w:rsidRPr="009C6FED">
        <w:rPr>
          <w:rFonts w:cstheme="minorHAnsi"/>
        </w:rPr>
        <w:t>sHLH</w:t>
      </w:r>
      <w:proofErr w:type="spellEnd"/>
      <w:r w:rsidRPr="009C6FED">
        <w:rPr>
          <w:rFonts w:cstheme="minorHAnsi"/>
        </w:rPr>
        <w:t xml:space="preserve"> as “difficult to diagnose and the diagnosis is often missed as it can mimic SIRS or Sepsis.”</w:t>
      </w:r>
      <w:r>
        <w:rPr>
          <w:rFonts w:cstheme="minorHAnsi"/>
        </w:rPr>
        <w:t xml:space="preserve"> </w:t>
      </w:r>
      <w:r w:rsidRPr="009C6FED">
        <w:rPr>
          <w:rFonts w:cstheme="minorHAnsi"/>
        </w:rPr>
        <w:t xml:space="preserve">Dr. Limjoco went on to say that it is an unfamiliar diagnosis to most physicians and that many physicians revert to familiar terms such as viral sepsis or septic shock to describe what is going on with the patient. </w:t>
      </w:r>
    </w:p>
    <w:p w14:paraId="30D7FB37" w14:textId="77777777" w:rsidR="00830D61" w:rsidRPr="009C6FED" w:rsidRDefault="00830D61" w:rsidP="00830D61">
      <w:pPr>
        <w:spacing w:line="240" w:lineRule="auto"/>
        <w:rPr>
          <w:rFonts w:cstheme="minorHAnsi"/>
        </w:rPr>
      </w:pPr>
      <w:r>
        <w:rPr>
          <w:rFonts w:cstheme="minorHAnsi"/>
        </w:rPr>
        <w:t xml:space="preserve">The </w:t>
      </w:r>
      <w:r w:rsidRPr="009C6FED">
        <w:rPr>
          <w:rFonts w:cstheme="minorHAnsi"/>
          <w:lang w:val="en"/>
        </w:rPr>
        <w:t xml:space="preserve">article </w:t>
      </w:r>
      <w:r>
        <w:rPr>
          <w:rFonts w:cstheme="minorHAnsi"/>
          <w:lang w:val="en"/>
        </w:rPr>
        <w:t>“</w:t>
      </w:r>
      <w:hyperlink r:id="rId9" w:history="1">
        <w:r w:rsidRPr="009714C9">
          <w:rPr>
            <w:rStyle w:val="Hyperlink"/>
            <w:rFonts w:cstheme="minorHAnsi"/>
            <w:lang w:val="en"/>
          </w:rPr>
          <w:t xml:space="preserve">Hemophagocytic </w:t>
        </w:r>
        <w:proofErr w:type="spellStart"/>
        <w:r w:rsidRPr="009714C9">
          <w:rPr>
            <w:rStyle w:val="Hyperlink"/>
            <w:rFonts w:cstheme="minorHAnsi"/>
            <w:lang w:val="en"/>
          </w:rPr>
          <w:t>Lymphohistiocytosis</w:t>
        </w:r>
        <w:proofErr w:type="spellEnd"/>
      </w:hyperlink>
      <w:r>
        <w:rPr>
          <w:rFonts w:cstheme="minorHAnsi"/>
          <w:lang w:val="en"/>
        </w:rPr>
        <w:t xml:space="preserve">” also says that </w:t>
      </w:r>
      <w:r w:rsidRPr="009C6FED">
        <w:rPr>
          <w:rFonts w:cstheme="minorHAnsi"/>
          <w:lang w:val="en"/>
        </w:rPr>
        <w:t>“</w:t>
      </w:r>
      <w:proofErr w:type="spellStart"/>
      <w:r w:rsidRPr="009C6FED">
        <w:rPr>
          <w:rFonts w:cstheme="minorHAnsi"/>
          <w:lang w:val="en"/>
        </w:rPr>
        <w:t>sHLH</w:t>
      </w:r>
      <w:proofErr w:type="spellEnd"/>
      <w:r w:rsidRPr="009C6FED">
        <w:rPr>
          <w:rFonts w:cstheme="minorHAnsi"/>
          <w:lang w:val="en"/>
        </w:rPr>
        <w:t xml:space="preserve"> is seen more in viral infections (e.g., SARS-CoV-2 causing COVID-19) than bacterial infections (e.g., mycobacteria).”</w:t>
      </w:r>
    </w:p>
    <w:p w14:paraId="68CD3A87" w14:textId="77777777" w:rsidR="00830D61" w:rsidRDefault="00830D61" w:rsidP="00830D61">
      <w:pPr>
        <w:spacing w:line="240" w:lineRule="auto"/>
        <w:rPr>
          <w:rFonts w:cstheme="minorHAnsi"/>
          <w:b/>
          <w:bCs/>
          <w:i/>
          <w:iCs/>
          <w:sz w:val="28"/>
          <w:szCs w:val="28"/>
        </w:rPr>
      </w:pPr>
    </w:p>
    <w:p w14:paraId="244B4D2C" w14:textId="77777777" w:rsidR="00830D61" w:rsidRPr="009C6FED" w:rsidRDefault="00830D61" w:rsidP="00830D61">
      <w:pPr>
        <w:spacing w:line="240" w:lineRule="auto"/>
        <w:rPr>
          <w:rFonts w:cstheme="minorHAnsi"/>
          <w:b/>
          <w:bCs/>
          <w:i/>
          <w:iCs/>
          <w:sz w:val="28"/>
          <w:szCs w:val="28"/>
        </w:rPr>
      </w:pPr>
      <w:r w:rsidRPr="009C6FED">
        <w:rPr>
          <w:rFonts w:cstheme="minorHAnsi"/>
          <w:b/>
          <w:bCs/>
          <w:i/>
          <w:iCs/>
          <w:sz w:val="28"/>
          <w:szCs w:val="28"/>
        </w:rPr>
        <w:lastRenderedPageBreak/>
        <w:t xml:space="preserve">Clinical </w:t>
      </w:r>
      <w:r>
        <w:rPr>
          <w:rFonts w:cstheme="minorHAnsi"/>
          <w:b/>
          <w:bCs/>
          <w:i/>
          <w:iCs/>
          <w:sz w:val="28"/>
          <w:szCs w:val="28"/>
        </w:rPr>
        <w:t>p</w:t>
      </w:r>
      <w:r w:rsidRPr="009C6FED">
        <w:rPr>
          <w:rFonts w:cstheme="minorHAnsi"/>
          <w:b/>
          <w:bCs/>
          <w:i/>
          <w:iCs/>
          <w:sz w:val="28"/>
          <w:szCs w:val="28"/>
        </w:rPr>
        <w:t xml:space="preserve">resentation of </w:t>
      </w:r>
      <w:proofErr w:type="spellStart"/>
      <w:r w:rsidRPr="009C6FED">
        <w:rPr>
          <w:rFonts w:cstheme="minorHAnsi"/>
          <w:b/>
          <w:bCs/>
          <w:i/>
          <w:iCs/>
          <w:sz w:val="28"/>
          <w:szCs w:val="28"/>
        </w:rPr>
        <w:t>sHLH</w:t>
      </w:r>
      <w:proofErr w:type="spellEnd"/>
    </w:p>
    <w:p w14:paraId="77DC5BAF" w14:textId="77777777" w:rsidR="00830D61" w:rsidRPr="009C6FED" w:rsidRDefault="00830D61" w:rsidP="00830D61">
      <w:pPr>
        <w:spacing w:line="240" w:lineRule="auto"/>
        <w:rPr>
          <w:rFonts w:cstheme="minorHAnsi"/>
        </w:rPr>
      </w:pPr>
      <w:r w:rsidRPr="009C6FED">
        <w:rPr>
          <w:rFonts w:cstheme="minorHAnsi"/>
        </w:rPr>
        <w:t xml:space="preserve">There are specific characteristics of </w:t>
      </w:r>
      <w:proofErr w:type="spellStart"/>
      <w:r w:rsidRPr="009C6FED">
        <w:rPr>
          <w:rFonts w:cstheme="minorHAnsi"/>
        </w:rPr>
        <w:t>sHLH</w:t>
      </w:r>
      <w:proofErr w:type="spellEnd"/>
      <w:r w:rsidRPr="009C6FED">
        <w:rPr>
          <w:rFonts w:cstheme="minorHAnsi"/>
        </w:rPr>
        <w:t xml:space="preserve"> that make it distinct from other diagnoses.</w:t>
      </w:r>
      <w:r>
        <w:rPr>
          <w:rFonts w:cstheme="minorHAnsi"/>
        </w:rPr>
        <w:t xml:space="preserve"> </w:t>
      </w:r>
      <w:r w:rsidRPr="009C6FED">
        <w:rPr>
          <w:rFonts w:cstheme="minorHAnsi"/>
        </w:rPr>
        <w:t xml:space="preserve">A </w:t>
      </w:r>
      <w:hyperlink r:id="rId10" w:history="1">
        <w:r w:rsidRPr="009714C9">
          <w:rPr>
            <w:rStyle w:val="Hyperlink"/>
            <w:rFonts w:cstheme="minorHAnsi"/>
          </w:rPr>
          <w:t>research study done in 2004 recommended by the Histiocyte Society</w:t>
        </w:r>
      </w:hyperlink>
      <w:r w:rsidRPr="009C6FED">
        <w:rPr>
          <w:rFonts w:cstheme="minorHAnsi"/>
        </w:rPr>
        <w:t xml:space="preserve"> concluded that </w:t>
      </w:r>
      <w:r>
        <w:rPr>
          <w:rFonts w:cstheme="minorHAnsi"/>
        </w:rPr>
        <w:t>five</w:t>
      </w:r>
      <w:r w:rsidRPr="009C6FED">
        <w:rPr>
          <w:rFonts w:cstheme="minorHAnsi"/>
        </w:rPr>
        <w:t xml:space="preserve"> out of </w:t>
      </w:r>
      <w:r>
        <w:rPr>
          <w:rFonts w:cstheme="minorHAnsi"/>
        </w:rPr>
        <w:t>eight</w:t>
      </w:r>
      <w:r w:rsidRPr="009C6FED">
        <w:rPr>
          <w:rFonts w:cstheme="minorHAnsi"/>
        </w:rPr>
        <w:t xml:space="preserve"> of the below symptoms are diagnostic for </w:t>
      </w:r>
      <w:proofErr w:type="spellStart"/>
      <w:r w:rsidRPr="009C6FED">
        <w:rPr>
          <w:rFonts w:cstheme="minorHAnsi"/>
        </w:rPr>
        <w:t>sHLH</w:t>
      </w:r>
      <w:proofErr w:type="spellEnd"/>
      <w:r w:rsidRPr="009C6FED">
        <w:rPr>
          <w:rFonts w:cstheme="minorHAnsi"/>
        </w:rPr>
        <w:t>:</w:t>
      </w:r>
    </w:p>
    <w:p w14:paraId="5BB64C72" w14:textId="77777777" w:rsidR="00830D61" w:rsidRDefault="00830D61" w:rsidP="00830D61">
      <w:pPr>
        <w:pStyle w:val="ListParagraph"/>
        <w:numPr>
          <w:ilvl w:val="0"/>
          <w:numId w:val="32"/>
        </w:numPr>
        <w:spacing w:line="240" w:lineRule="auto"/>
        <w:rPr>
          <w:rFonts w:eastAsia="Times New Roman" w:cstheme="minorHAnsi"/>
        </w:rPr>
      </w:pPr>
      <w:r w:rsidRPr="009C6FED">
        <w:rPr>
          <w:rFonts w:eastAsia="Times New Roman" w:cstheme="minorHAnsi"/>
        </w:rPr>
        <w:t xml:space="preserve">Fever </w:t>
      </w:r>
    </w:p>
    <w:p w14:paraId="7B9FA5A0" w14:textId="77777777" w:rsidR="00830D61" w:rsidRDefault="00830D61" w:rsidP="00830D61">
      <w:pPr>
        <w:pStyle w:val="ListParagraph"/>
        <w:numPr>
          <w:ilvl w:val="0"/>
          <w:numId w:val="32"/>
        </w:numPr>
        <w:spacing w:line="240" w:lineRule="auto"/>
        <w:rPr>
          <w:rFonts w:eastAsia="Times New Roman" w:cstheme="minorHAnsi"/>
        </w:rPr>
      </w:pPr>
      <w:r w:rsidRPr="009C6FED">
        <w:rPr>
          <w:rFonts w:eastAsia="Times New Roman" w:cstheme="minorHAnsi"/>
        </w:rPr>
        <w:t xml:space="preserve">Splenomegaly </w:t>
      </w:r>
    </w:p>
    <w:p w14:paraId="36A1E0C3" w14:textId="77777777" w:rsidR="00830D61" w:rsidRDefault="00830D61" w:rsidP="00830D61">
      <w:pPr>
        <w:pStyle w:val="ListParagraph"/>
        <w:numPr>
          <w:ilvl w:val="0"/>
          <w:numId w:val="32"/>
        </w:numPr>
        <w:spacing w:line="240" w:lineRule="auto"/>
        <w:rPr>
          <w:rFonts w:eastAsia="Times New Roman" w:cstheme="minorHAnsi"/>
        </w:rPr>
      </w:pPr>
      <w:r w:rsidRPr="009C6FED">
        <w:rPr>
          <w:rFonts w:eastAsia="Times New Roman" w:cstheme="minorHAnsi"/>
        </w:rPr>
        <w:t xml:space="preserve">Cytopenia in at least two cell types </w:t>
      </w:r>
    </w:p>
    <w:p w14:paraId="7B387992" w14:textId="77777777" w:rsidR="00830D61" w:rsidRDefault="00830D61" w:rsidP="00830D61">
      <w:pPr>
        <w:pStyle w:val="ListParagraph"/>
        <w:numPr>
          <w:ilvl w:val="0"/>
          <w:numId w:val="32"/>
        </w:numPr>
        <w:spacing w:line="240" w:lineRule="auto"/>
        <w:rPr>
          <w:rFonts w:eastAsia="Times New Roman" w:cstheme="minorHAnsi"/>
        </w:rPr>
      </w:pPr>
      <w:r w:rsidRPr="009C6FED">
        <w:rPr>
          <w:rFonts w:eastAsia="Times New Roman" w:cstheme="minorHAnsi"/>
        </w:rPr>
        <w:t xml:space="preserve">Hypertriglyceridemia or hypofibrinogenemia </w:t>
      </w:r>
    </w:p>
    <w:p w14:paraId="409CC2FC" w14:textId="77777777" w:rsidR="00830D61" w:rsidRDefault="00830D61" w:rsidP="00830D61">
      <w:pPr>
        <w:pStyle w:val="ListParagraph"/>
        <w:numPr>
          <w:ilvl w:val="0"/>
          <w:numId w:val="32"/>
        </w:numPr>
        <w:spacing w:line="240" w:lineRule="auto"/>
        <w:rPr>
          <w:rFonts w:eastAsia="Times New Roman" w:cstheme="minorHAnsi"/>
        </w:rPr>
      </w:pPr>
      <w:proofErr w:type="spellStart"/>
      <w:r w:rsidRPr="009C6FED">
        <w:rPr>
          <w:rFonts w:eastAsia="Times New Roman" w:cstheme="minorHAnsi"/>
        </w:rPr>
        <w:t>Hemophagocytosis</w:t>
      </w:r>
      <w:proofErr w:type="spellEnd"/>
      <w:r w:rsidRPr="009C6FED">
        <w:rPr>
          <w:rFonts w:eastAsia="Times New Roman" w:cstheme="minorHAnsi"/>
        </w:rPr>
        <w:t xml:space="preserve"> (via biopsy)</w:t>
      </w:r>
    </w:p>
    <w:p w14:paraId="58F11B95" w14:textId="77777777" w:rsidR="00830D61" w:rsidRDefault="00830D61" w:rsidP="00830D61">
      <w:pPr>
        <w:pStyle w:val="ListParagraph"/>
        <w:numPr>
          <w:ilvl w:val="0"/>
          <w:numId w:val="32"/>
        </w:numPr>
        <w:spacing w:line="240" w:lineRule="auto"/>
        <w:rPr>
          <w:rFonts w:eastAsia="Times New Roman" w:cstheme="minorHAnsi"/>
        </w:rPr>
      </w:pPr>
      <w:r w:rsidRPr="009C6FED">
        <w:rPr>
          <w:rFonts w:eastAsia="Times New Roman" w:cstheme="minorHAnsi"/>
        </w:rPr>
        <w:t xml:space="preserve">Ferritin &gt;500 mcg/L </w:t>
      </w:r>
    </w:p>
    <w:p w14:paraId="34BBFB65" w14:textId="77777777" w:rsidR="00830D61" w:rsidRDefault="00830D61" w:rsidP="00830D61">
      <w:pPr>
        <w:pStyle w:val="ListParagraph"/>
        <w:numPr>
          <w:ilvl w:val="0"/>
          <w:numId w:val="32"/>
        </w:numPr>
        <w:spacing w:line="240" w:lineRule="auto"/>
        <w:rPr>
          <w:rFonts w:eastAsia="Times New Roman" w:cstheme="minorHAnsi"/>
        </w:rPr>
      </w:pPr>
      <w:r w:rsidRPr="009C6FED">
        <w:rPr>
          <w:rFonts w:eastAsia="Times New Roman" w:cstheme="minorHAnsi"/>
        </w:rPr>
        <w:t xml:space="preserve">Low/absent NK cell activity </w:t>
      </w:r>
    </w:p>
    <w:p w14:paraId="2AA82A7C" w14:textId="77777777" w:rsidR="00830D61" w:rsidRPr="009C6FED" w:rsidRDefault="00830D61" w:rsidP="00830D61">
      <w:pPr>
        <w:pStyle w:val="ListParagraph"/>
        <w:numPr>
          <w:ilvl w:val="0"/>
          <w:numId w:val="32"/>
        </w:numPr>
        <w:spacing w:line="240" w:lineRule="auto"/>
        <w:rPr>
          <w:rFonts w:eastAsia="Times New Roman" w:cstheme="minorHAnsi"/>
        </w:rPr>
      </w:pPr>
      <w:r w:rsidRPr="009C6FED">
        <w:rPr>
          <w:rFonts w:eastAsia="Times New Roman" w:cstheme="minorHAnsi"/>
        </w:rPr>
        <w:t xml:space="preserve">Soluble CD25 elevation </w:t>
      </w:r>
    </w:p>
    <w:p w14:paraId="107293E4" w14:textId="77777777" w:rsidR="00830D61" w:rsidRPr="009C6FED" w:rsidRDefault="00830D61" w:rsidP="00830D61">
      <w:pPr>
        <w:spacing w:line="240" w:lineRule="auto"/>
        <w:rPr>
          <w:rFonts w:eastAsia="Times New Roman" w:cstheme="minorHAnsi"/>
        </w:rPr>
      </w:pPr>
      <w:r w:rsidRPr="009C6FED">
        <w:rPr>
          <w:rFonts w:eastAsia="Times New Roman" w:cstheme="minorHAnsi"/>
        </w:rPr>
        <w:t xml:space="preserve">Other manifestations can include shock, </w:t>
      </w:r>
      <w:r>
        <w:rPr>
          <w:rFonts w:eastAsia="Times New Roman" w:cstheme="minorHAnsi"/>
        </w:rPr>
        <w:t>disseminated intravascular coagulation</w:t>
      </w:r>
      <w:r w:rsidRPr="009C6FED">
        <w:rPr>
          <w:rFonts w:eastAsia="Times New Roman" w:cstheme="minorHAnsi"/>
        </w:rPr>
        <w:t xml:space="preserve">, </w:t>
      </w:r>
      <w:r>
        <w:rPr>
          <w:rFonts w:eastAsia="Times New Roman" w:cstheme="minorHAnsi"/>
        </w:rPr>
        <w:t xml:space="preserve">and </w:t>
      </w:r>
      <w:r w:rsidRPr="009C6FED">
        <w:rPr>
          <w:rFonts w:eastAsia="Times New Roman" w:cstheme="minorHAnsi"/>
        </w:rPr>
        <w:t xml:space="preserve">multi-organ failure. </w:t>
      </w:r>
      <w:r>
        <w:rPr>
          <w:rFonts w:eastAsia="Times New Roman" w:cstheme="minorHAnsi"/>
        </w:rPr>
        <w:t>Acute respiratory distress syndrome</w:t>
      </w:r>
      <w:r w:rsidRPr="009C6FED">
        <w:rPr>
          <w:rFonts w:eastAsia="Times New Roman" w:cstheme="minorHAnsi"/>
        </w:rPr>
        <w:t xml:space="preserve"> is documented as occurring in approximately 50% of patients.</w:t>
      </w:r>
    </w:p>
    <w:p w14:paraId="16A05830" w14:textId="77777777" w:rsidR="00830D61" w:rsidRPr="009C6FED" w:rsidRDefault="00830D61" w:rsidP="00830D61">
      <w:pPr>
        <w:spacing w:line="240" w:lineRule="auto"/>
        <w:rPr>
          <w:rFonts w:cstheme="minorHAnsi"/>
          <w:b/>
          <w:bCs/>
          <w:i/>
          <w:iCs/>
          <w:color w:val="222222"/>
          <w:sz w:val="28"/>
          <w:szCs w:val="28"/>
        </w:rPr>
      </w:pPr>
      <w:r w:rsidRPr="009C6FED">
        <w:rPr>
          <w:rFonts w:cstheme="minorHAnsi"/>
          <w:b/>
          <w:bCs/>
          <w:i/>
          <w:iCs/>
          <w:color w:val="222222"/>
          <w:sz w:val="28"/>
          <w:szCs w:val="28"/>
        </w:rPr>
        <w:t xml:space="preserve">Treatment of </w:t>
      </w:r>
      <w:proofErr w:type="spellStart"/>
      <w:r w:rsidRPr="009C6FED">
        <w:rPr>
          <w:rFonts w:cstheme="minorHAnsi"/>
          <w:b/>
          <w:bCs/>
          <w:i/>
          <w:iCs/>
          <w:color w:val="222222"/>
          <w:sz w:val="28"/>
          <w:szCs w:val="28"/>
        </w:rPr>
        <w:t>sHLH</w:t>
      </w:r>
      <w:proofErr w:type="spellEnd"/>
    </w:p>
    <w:p w14:paraId="2063F26B" w14:textId="77777777" w:rsidR="00830D61" w:rsidRPr="009C6FED" w:rsidRDefault="00830D61" w:rsidP="00830D61">
      <w:pPr>
        <w:spacing w:line="240" w:lineRule="auto"/>
        <w:rPr>
          <w:rFonts w:cstheme="minorHAnsi"/>
        </w:rPr>
      </w:pPr>
      <w:r w:rsidRPr="009C6FED">
        <w:rPr>
          <w:rFonts w:cstheme="minorHAnsi"/>
        </w:rPr>
        <w:t xml:space="preserve">Per the Histiocyte Society, the first treatment protocol for patients with </w:t>
      </w:r>
      <w:proofErr w:type="spellStart"/>
      <w:r>
        <w:rPr>
          <w:rFonts w:cstheme="minorHAnsi"/>
        </w:rPr>
        <w:t>s</w:t>
      </w:r>
      <w:r w:rsidRPr="009C6FED">
        <w:rPr>
          <w:rFonts w:cstheme="minorHAnsi"/>
        </w:rPr>
        <w:t>HLH</w:t>
      </w:r>
      <w:proofErr w:type="spellEnd"/>
      <w:r w:rsidRPr="009C6FED">
        <w:rPr>
          <w:rFonts w:cstheme="minorHAnsi"/>
        </w:rPr>
        <w:t xml:space="preserve"> included a combination of chemotherapy, immunotherapy and steroids, as well as antibiotics and antiviral drugs</w:t>
      </w:r>
      <w:r w:rsidRPr="009C6FED">
        <w:rPr>
          <w:rFonts w:cstheme="minorHAnsi"/>
          <w:lang w:val="en"/>
        </w:rPr>
        <w:t>.</w:t>
      </w:r>
      <w:r>
        <w:rPr>
          <w:rFonts w:cstheme="minorHAnsi"/>
          <w:lang w:val="en"/>
        </w:rPr>
        <w:t xml:space="preserve"> </w:t>
      </w:r>
      <w:r w:rsidRPr="009C6FED">
        <w:rPr>
          <w:rFonts w:cstheme="minorHAnsi"/>
          <w:lang w:val="en"/>
        </w:rPr>
        <w:t>Treatment for the underlying cause and associated manifestations should also be implemented but will vary based on the clinical presentation of the patient and physician</w:t>
      </w:r>
      <w:r>
        <w:rPr>
          <w:rFonts w:cstheme="minorHAnsi"/>
          <w:lang w:val="en"/>
        </w:rPr>
        <w:t>’</w:t>
      </w:r>
      <w:r w:rsidRPr="009C6FED">
        <w:rPr>
          <w:rFonts w:cstheme="minorHAnsi"/>
          <w:lang w:val="en"/>
        </w:rPr>
        <w:t>s preference.</w:t>
      </w:r>
    </w:p>
    <w:p w14:paraId="3557C990" w14:textId="77777777" w:rsidR="00830D61" w:rsidRPr="009C6FED" w:rsidRDefault="00830D61" w:rsidP="00830D61">
      <w:pPr>
        <w:spacing w:line="240" w:lineRule="auto"/>
        <w:rPr>
          <w:rFonts w:cstheme="minorHAnsi"/>
          <w:b/>
          <w:bCs/>
          <w:i/>
          <w:iCs/>
          <w:color w:val="222222"/>
          <w:sz w:val="28"/>
          <w:szCs w:val="28"/>
        </w:rPr>
      </w:pPr>
      <w:r w:rsidRPr="009C6FED">
        <w:rPr>
          <w:rFonts w:cstheme="minorHAnsi"/>
          <w:b/>
          <w:bCs/>
          <w:i/>
          <w:iCs/>
          <w:color w:val="222222"/>
          <w:sz w:val="28"/>
          <w:szCs w:val="28"/>
        </w:rPr>
        <w:t>Conclusion</w:t>
      </w:r>
    </w:p>
    <w:p w14:paraId="03DC793A" w14:textId="77777777" w:rsidR="00830D61" w:rsidRPr="009C6FED" w:rsidRDefault="00830D61" w:rsidP="00830D61">
      <w:pPr>
        <w:spacing w:line="240" w:lineRule="auto"/>
        <w:rPr>
          <w:rStyle w:val="e24kjd"/>
          <w:rFonts w:cstheme="minorHAnsi"/>
          <w:color w:val="222222"/>
        </w:rPr>
      </w:pPr>
      <w:r w:rsidRPr="009C6FED">
        <w:rPr>
          <w:rFonts w:cstheme="minorHAnsi"/>
          <w:color w:val="222222"/>
        </w:rPr>
        <w:t>The latest Sepsis</w:t>
      </w:r>
      <w:r>
        <w:rPr>
          <w:rFonts w:cstheme="minorHAnsi"/>
          <w:color w:val="222222"/>
        </w:rPr>
        <w:t>-</w:t>
      </w:r>
      <w:r w:rsidRPr="009C6FED">
        <w:rPr>
          <w:rFonts w:cstheme="minorHAnsi"/>
          <w:color w:val="222222"/>
        </w:rPr>
        <w:t xml:space="preserve">3 definition is defined as </w:t>
      </w:r>
      <w:r>
        <w:rPr>
          <w:rFonts w:cstheme="minorHAnsi"/>
          <w:color w:val="222222"/>
        </w:rPr>
        <w:t xml:space="preserve">a </w:t>
      </w:r>
      <w:r w:rsidRPr="009C6FED">
        <w:rPr>
          <w:rFonts w:cstheme="minorHAnsi"/>
          <w:color w:val="222222"/>
        </w:rPr>
        <w:t xml:space="preserve">life-threatening organ dysfunction caused by a dysregulated host response to infection with a mean mortality rate of 32.5% for non-intubated patients and 48% for intubated patients. </w:t>
      </w:r>
      <w:proofErr w:type="spellStart"/>
      <w:r>
        <w:rPr>
          <w:rFonts w:cstheme="minorHAnsi"/>
          <w:color w:val="222222"/>
        </w:rPr>
        <w:t>s</w:t>
      </w:r>
      <w:r w:rsidRPr="009C6FED">
        <w:rPr>
          <w:rFonts w:cstheme="minorHAnsi"/>
          <w:color w:val="222222"/>
        </w:rPr>
        <w:t>HLH</w:t>
      </w:r>
      <w:proofErr w:type="spellEnd"/>
      <w:r w:rsidRPr="009C6FED">
        <w:rPr>
          <w:rFonts w:cstheme="minorHAnsi"/>
          <w:color w:val="222222"/>
        </w:rPr>
        <w:t xml:space="preserve"> is defined as </w:t>
      </w:r>
      <w:r w:rsidRPr="009C6FED">
        <w:rPr>
          <w:rStyle w:val="e24kjd"/>
          <w:rFonts w:cstheme="minorHAnsi"/>
          <w:color w:val="222222"/>
        </w:rPr>
        <w:t>is a life-threatening hyperinflammatory syndrome that can occur in patients with severe infections, malignancy or autoimmune diseases with a mean mortality rate of roughly</w:t>
      </w:r>
      <w:r>
        <w:rPr>
          <w:rStyle w:val="e24kjd"/>
          <w:rFonts w:cstheme="minorHAnsi"/>
          <w:color w:val="222222"/>
        </w:rPr>
        <w:t xml:space="preserve"> </w:t>
      </w:r>
      <w:r w:rsidRPr="009C6FED">
        <w:rPr>
          <w:rStyle w:val="e24kjd"/>
          <w:rFonts w:cstheme="minorHAnsi"/>
          <w:color w:val="222222"/>
        </w:rPr>
        <w:t>40</w:t>
      </w:r>
      <w:r>
        <w:rPr>
          <w:rStyle w:val="e24kjd"/>
          <w:rFonts w:cstheme="minorHAnsi"/>
          <w:color w:val="222222"/>
        </w:rPr>
        <w:t>%</w:t>
      </w:r>
      <w:r w:rsidRPr="009C6FED">
        <w:rPr>
          <w:rStyle w:val="e24kjd"/>
          <w:rFonts w:cstheme="minorHAnsi"/>
          <w:color w:val="222222"/>
        </w:rPr>
        <w:t>-50% for critical patients with multi-organ failure.</w:t>
      </w:r>
    </w:p>
    <w:p w14:paraId="3C23465D" w14:textId="77777777" w:rsidR="00830D61" w:rsidRPr="009C6FED" w:rsidRDefault="00830D61" w:rsidP="00830D61">
      <w:pPr>
        <w:spacing w:line="240" w:lineRule="auto"/>
        <w:rPr>
          <w:rFonts w:cstheme="minorHAnsi"/>
          <w:color w:val="222222"/>
        </w:rPr>
      </w:pPr>
      <w:r w:rsidRPr="009C6FED">
        <w:rPr>
          <w:rStyle w:val="e24kjd"/>
          <w:rFonts w:cstheme="minorHAnsi"/>
          <w:color w:val="222222"/>
        </w:rPr>
        <w:t>The similarities are undeniable and further exploration is warranted.</w:t>
      </w:r>
      <w:r>
        <w:rPr>
          <w:rStyle w:val="e24kjd"/>
          <w:rFonts w:cstheme="minorHAnsi"/>
          <w:color w:val="222222"/>
        </w:rPr>
        <w:t xml:space="preserve"> </w:t>
      </w:r>
      <w:r w:rsidRPr="009C6FED">
        <w:rPr>
          <w:rStyle w:val="e24kjd"/>
          <w:rFonts w:cstheme="minorHAnsi"/>
          <w:color w:val="222222"/>
        </w:rPr>
        <w:t>Certainly, we do not want to bombard our physicians with information and/or questions during this time of crisis</w:t>
      </w:r>
      <w:r>
        <w:rPr>
          <w:rStyle w:val="e24kjd"/>
          <w:rFonts w:cstheme="minorHAnsi"/>
          <w:color w:val="222222"/>
        </w:rPr>
        <w:t>.</w:t>
      </w:r>
      <w:r w:rsidRPr="009C6FED">
        <w:rPr>
          <w:rStyle w:val="e24kjd"/>
          <w:rFonts w:cstheme="minorHAnsi"/>
          <w:color w:val="222222"/>
        </w:rPr>
        <w:t xml:space="preserve"> </w:t>
      </w:r>
      <w:r>
        <w:rPr>
          <w:rStyle w:val="e24kjd"/>
          <w:rFonts w:cstheme="minorHAnsi"/>
          <w:color w:val="222222"/>
        </w:rPr>
        <w:t>H</w:t>
      </w:r>
      <w:r w:rsidRPr="009C6FED">
        <w:rPr>
          <w:rStyle w:val="e24kjd"/>
          <w:rFonts w:cstheme="minorHAnsi"/>
          <w:color w:val="222222"/>
        </w:rPr>
        <w:t>owever, once the current crisis settles down</w:t>
      </w:r>
      <w:r>
        <w:rPr>
          <w:rStyle w:val="e24kjd"/>
          <w:rFonts w:cstheme="minorHAnsi"/>
          <w:color w:val="222222"/>
        </w:rPr>
        <w:t xml:space="preserve">, however, </w:t>
      </w:r>
      <w:r w:rsidRPr="009C6FED">
        <w:rPr>
          <w:rStyle w:val="e24kjd"/>
          <w:rFonts w:cstheme="minorHAnsi"/>
          <w:color w:val="222222"/>
        </w:rPr>
        <w:t>CDI</w:t>
      </w:r>
      <w:r>
        <w:rPr>
          <w:rStyle w:val="e24kjd"/>
          <w:rFonts w:cstheme="minorHAnsi"/>
          <w:color w:val="222222"/>
        </w:rPr>
        <w:t xml:space="preserve"> specialists</w:t>
      </w:r>
      <w:r w:rsidRPr="009C6FED">
        <w:rPr>
          <w:rStyle w:val="e24kjd"/>
          <w:rFonts w:cstheme="minorHAnsi"/>
          <w:color w:val="222222"/>
        </w:rPr>
        <w:t xml:space="preserve"> can begin to have discussions with providers so that the appropriate diagnoses can be investigated which could ultimately serve to save patients through appropriate treatment regimens. </w:t>
      </w:r>
    </w:p>
    <w:p w14:paraId="304F42A4" w14:textId="77777777" w:rsidR="00830D61" w:rsidRPr="009C6FED" w:rsidRDefault="00830D61" w:rsidP="00830D61">
      <w:pPr>
        <w:spacing w:line="240" w:lineRule="auto"/>
        <w:rPr>
          <w:rFonts w:eastAsia="Times New Roman" w:cstheme="minorHAnsi"/>
          <w:b/>
          <w:bCs/>
          <w:i/>
          <w:iCs/>
          <w:sz w:val="28"/>
          <w:szCs w:val="28"/>
        </w:rPr>
      </w:pPr>
      <w:r w:rsidRPr="009C6FED">
        <w:rPr>
          <w:rFonts w:cstheme="minorHAnsi"/>
          <w:b/>
          <w:bCs/>
          <w:i/>
          <w:iCs/>
          <w:color w:val="222222"/>
          <w:sz w:val="28"/>
          <w:szCs w:val="28"/>
        </w:rPr>
        <w:t>References</w:t>
      </w:r>
    </w:p>
    <w:p w14:paraId="6BBC53C9" w14:textId="77777777" w:rsidR="00830D61" w:rsidRDefault="002C1C65" w:rsidP="00830D61">
      <w:pPr>
        <w:pStyle w:val="ListParagraph"/>
        <w:numPr>
          <w:ilvl w:val="0"/>
          <w:numId w:val="31"/>
        </w:numPr>
        <w:spacing w:line="240" w:lineRule="auto"/>
        <w:rPr>
          <w:rFonts w:cstheme="minorHAnsi"/>
        </w:rPr>
      </w:pPr>
      <w:hyperlink r:id="rId11" w:history="1">
        <w:r w:rsidR="00830D61" w:rsidRPr="003712F9">
          <w:rPr>
            <w:rStyle w:val="Hyperlink"/>
            <w:rFonts w:cstheme="minorHAnsi"/>
          </w:rPr>
          <w:t xml:space="preserve">“COVID-19: Consider cytokine storm syndromes and immunosuppression,” from </w:t>
        </w:r>
        <w:r w:rsidR="00830D61" w:rsidRPr="003712F9">
          <w:rPr>
            <w:rStyle w:val="Hyperlink"/>
            <w:rFonts w:cstheme="minorHAnsi"/>
            <w:i/>
            <w:iCs/>
          </w:rPr>
          <w:t xml:space="preserve">The Lancet, </w:t>
        </w:r>
        <w:r w:rsidR="00830D61" w:rsidRPr="003712F9">
          <w:rPr>
            <w:rStyle w:val="Hyperlink"/>
            <w:rFonts w:cstheme="minorHAnsi"/>
          </w:rPr>
          <w:t>March 13, 2020</w:t>
        </w:r>
      </w:hyperlink>
    </w:p>
    <w:p w14:paraId="32E7276D" w14:textId="77777777" w:rsidR="00830D61" w:rsidRDefault="002C1C65" w:rsidP="00830D61">
      <w:pPr>
        <w:pStyle w:val="ListParagraph"/>
        <w:numPr>
          <w:ilvl w:val="0"/>
          <w:numId w:val="31"/>
        </w:numPr>
        <w:spacing w:line="240" w:lineRule="auto"/>
        <w:rPr>
          <w:rFonts w:cstheme="minorHAnsi"/>
        </w:rPr>
      </w:pPr>
      <w:hyperlink r:id="rId12" w:history="1">
        <w:r w:rsidR="00830D61" w:rsidRPr="003712F9">
          <w:rPr>
            <w:rStyle w:val="Hyperlink"/>
            <w:rFonts w:cstheme="minorHAnsi"/>
          </w:rPr>
          <w:t xml:space="preserve">“Sepsis, cytokine release syndrome and COVID-19,” on the </w:t>
        </w:r>
        <w:r w:rsidR="00830D61" w:rsidRPr="003712F9">
          <w:rPr>
            <w:rStyle w:val="Hyperlink"/>
            <w:rFonts w:cstheme="minorHAnsi"/>
            <w:i/>
            <w:iCs/>
          </w:rPr>
          <w:t xml:space="preserve">ACDIS Podcast: Talking CDI, </w:t>
        </w:r>
        <w:r w:rsidR="00830D61" w:rsidRPr="003712F9">
          <w:rPr>
            <w:rStyle w:val="Hyperlink"/>
            <w:rFonts w:cstheme="minorHAnsi"/>
          </w:rPr>
          <w:t>April 1, 2020</w:t>
        </w:r>
      </w:hyperlink>
    </w:p>
    <w:p w14:paraId="68E05F88" w14:textId="77777777" w:rsidR="00830D61" w:rsidRDefault="002C1C65" w:rsidP="00830D61">
      <w:pPr>
        <w:pStyle w:val="ListParagraph"/>
        <w:numPr>
          <w:ilvl w:val="0"/>
          <w:numId w:val="31"/>
        </w:numPr>
        <w:spacing w:line="240" w:lineRule="auto"/>
        <w:rPr>
          <w:rFonts w:cstheme="minorHAnsi"/>
        </w:rPr>
      </w:pPr>
      <w:hyperlink r:id="rId13" w:history="1">
        <w:r w:rsidR="00830D61" w:rsidRPr="003712F9">
          <w:rPr>
            <w:rStyle w:val="Hyperlink"/>
            <w:rFonts w:cstheme="minorHAnsi"/>
          </w:rPr>
          <w:t xml:space="preserve">“Secondary </w:t>
        </w:r>
        <w:proofErr w:type="spellStart"/>
        <w:r w:rsidR="00830D61" w:rsidRPr="003712F9">
          <w:rPr>
            <w:rStyle w:val="Hyperlink"/>
            <w:rFonts w:cstheme="minorHAnsi"/>
          </w:rPr>
          <w:t>haemophagocytic</w:t>
        </w:r>
        <w:proofErr w:type="spellEnd"/>
        <w:r w:rsidR="00830D61" w:rsidRPr="003712F9">
          <w:rPr>
            <w:rStyle w:val="Hyperlink"/>
            <w:rFonts w:cstheme="minorHAnsi"/>
          </w:rPr>
          <w:t xml:space="preserve"> </w:t>
        </w:r>
        <w:proofErr w:type="spellStart"/>
        <w:r w:rsidR="00830D61" w:rsidRPr="003712F9">
          <w:rPr>
            <w:rStyle w:val="Hyperlink"/>
            <w:rFonts w:cstheme="minorHAnsi"/>
          </w:rPr>
          <w:t>lymphohistiocytosis</w:t>
        </w:r>
        <w:proofErr w:type="spellEnd"/>
        <w:r w:rsidR="00830D61" w:rsidRPr="003712F9">
          <w:rPr>
            <w:rStyle w:val="Hyperlink"/>
            <w:rFonts w:cstheme="minorHAnsi"/>
          </w:rPr>
          <w:t xml:space="preserve">: Experience from the Uppsala University Hospital,” by </w:t>
        </w:r>
        <w:proofErr w:type="spellStart"/>
        <w:r w:rsidR="00830D61" w:rsidRPr="003712F9">
          <w:rPr>
            <w:rStyle w:val="Hyperlink"/>
            <w:rFonts w:cstheme="minorHAnsi"/>
          </w:rPr>
          <w:t>Torbjörn</w:t>
        </w:r>
        <w:proofErr w:type="spellEnd"/>
        <w:r w:rsidR="00830D61" w:rsidRPr="003712F9">
          <w:rPr>
            <w:rStyle w:val="Hyperlink"/>
            <w:rFonts w:cstheme="minorHAnsi"/>
          </w:rPr>
          <w:t xml:space="preserve"> Karlsson in </w:t>
        </w:r>
        <w:r w:rsidR="00830D61" w:rsidRPr="003712F9">
          <w:rPr>
            <w:rStyle w:val="Hyperlink"/>
            <w:rFonts w:cstheme="minorHAnsi"/>
            <w:i/>
            <w:iCs/>
          </w:rPr>
          <w:t xml:space="preserve">Upsala Journal of Medical Sciences, </w:t>
        </w:r>
        <w:r w:rsidR="00830D61" w:rsidRPr="003712F9">
          <w:rPr>
            <w:rStyle w:val="Hyperlink"/>
            <w:rFonts w:cstheme="minorHAnsi"/>
          </w:rPr>
          <w:t>November 2015</w:t>
        </w:r>
      </w:hyperlink>
    </w:p>
    <w:p w14:paraId="02BDC392" w14:textId="77777777" w:rsidR="00830D61" w:rsidRDefault="002C1C65" w:rsidP="00830D61">
      <w:pPr>
        <w:pStyle w:val="ListParagraph"/>
        <w:numPr>
          <w:ilvl w:val="0"/>
          <w:numId w:val="31"/>
        </w:numPr>
        <w:spacing w:line="240" w:lineRule="auto"/>
        <w:rPr>
          <w:rFonts w:cstheme="minorHAnsi"/>
        </w:rPr>
      </w:pPr>
      <w:hyperlink r:id="rId14" w:history="1">
        <w:proofErr w:type="gramStart"/>
        <w:r w:rsidR="00830D61" w:rsidRPr="003712F9">
          <w:rPr>
            <w:rStyle w:val="Hyperlink"/>
            <w:rFonts w:cstheme="minorHAnsi"/>
          </w:rPr>
          <w:t>”</w:t>
        </w:r>
        <w:proofErr w:type="spellStart"/>
        <w:r w:rsidR="00830D61" w:rsidRPr="003712F9">
          <w:rPr>
            <w:rStyle w:val="Hyperlink"/>
            <w:rFonts w:cstheme="minorHAnsi"/>
          </w:rPr>
          <w:t>PulmCrit</w:t>
        </w:r>
        <w:proofErr w:type="spellEnd"/>
        <w:proofErr w:type="gramEnd"/>
        <w:r w:rsidR="00830D61" w:rsidRPr="003712F9">
          <w:rPr>
            <w:rStyle w:val="Hyperlink"/>
            <w:rFonts w:cstheme="minorHAnsi"/>
          </w:rPr>
          <w:t xml:space="preserve">—Sepsis 4.0: Understanding sepsis-HLH overlap syndrome,” by Josh Farkas in </w:t>
        </w:r>
        <w:proofErr w:type="spellStart"/>
        <w:r w:rsidR="00830D61" w:rsidRPr="003712F9">
          <w:rPr>
            <w:rStyle w:val="Hyperlink"/>
            <w:rFonts w:cstheme="minorHAnsi"/>
            <w:i/>
            <w:iCs/>
          </w:rPr>
          <w:t>PulmCrit</w:t>
        </w:r>
        <w:proofErr w:type="spellEnd"/>
        <w:r w:rsidR="00830D61" w:rsidRPr="003712F9">
          <w:rPr>
            <w:rStyle w:val="Hyperlink"/>
            <w:rFonts w:cstheme="minorHAnsi"/>
            <w:i/>
            <w:iCs/>
          </w:rPr>
          <w:t xml:space="preserve"> (</w:t>
        </w:r>
        <w:proofErr w:type="spellStart"/>
        <w:r w:rsidR="00830D61" w:rsidRPr="003712F9">
          <w:rPr>
            <w:rStyle w:val="Hyperlink"/>
            <w:rFonts w:cstheme="minorHAnsi"/>
            <w:i/>
            <w:iCs/>
          </w:rPr>
          <w:t>EMCrit</w:t>
        </w:r>
        <w:proofErr w:type="spellEnd"/>
        <w:r w:rsidR="00830D61" w:rsidRPr="003712F9">
          <w:rPr>
            <w:rStyle w:val="Hyperlink"/>
            <w:rFonts w:cstheme="minorHAnsi"/>
            <w:i/>
            <w:iCs/>
          </w:rPr>
          <w:t xml:space="preserve">), </w:t>
        </w:r>
        <w:r w:rsidR="00830D61" w:rsidRPr="003712F9">
          <w:rPr>
            <w:rStyle w:val="Hyperlink"/>
            <w:rFonts w:cstheme="minorHAnsi"/>
          </w:rPr>
          <w:t>June 6, 2016</w:t>
        </w:r>
      </w:hyperlink>
    </w:p>
    <w:p w14:paraId="45045F60" w14:textId="77777777" w:rsidR="00830D61" w:rsidRPr="009C6FED" w:rsidRDefault="002C1C65" w:rsidP="00830D61">
      <w:pPr>
        <w:pStyle w:val="ListParagraph"/>
        <w:numPr>
          <w:ilvl w:val="0"/>
          <w:numId w:val="31"/>
        </w:numPr>
        <w:spacing w:line="240" w:lineRule="auto"/>
        <w:rPr>
          <w:rFonts w:cstheme="minorHAnsi"/>
          <w:b/>
          <w:bCs/>
          <w:i/>
          <w:iCs/>
          <w:color w:val="222222"/>
        </w:rPr>
      </w:pPr>
      <w:hyperlink r:id="rId15" w:history="1">
        <w:r w:rsidR="00830D61" w:rsidRPr="003712F9">
          <w:rPr>
            <w:rStyle w:val="Hyperlink"/>
            <w:rFonts w:cstheme="minorHAnsi"/>
          </w:rPr>
          <w:t>“</w:t>
        </w:r>
        <w:r w:rsidR="00830D61" w:rsidRPr="003712F9">
          <w:rPr>
            <w:rStyle w:val="Hyperlink"/>
            <w:rFonts w:cstheme="minorHAnsi"/>
            <w:lang w:val="en"/>
          </w:rPr>
          <w:t xml:space="preserve">Efficient management of secondary </w:t>
        </w:r>
        <w:proofErr w:type="spellStart"/>
        <w:r w:rsidR="00830D61" w:rsidRPr="003712F9">
          <w:rPr>
            <w:rStyle w:val="Hyperlink"/>
            <w:rFonts w:cstheme="minorHAnsi"/>
            <w:lang w:val="en"/>
          </w:rPr>
          <w:t>haemophagocytic</w:t>
        </w:r>
        <w:proofErr w:type="spellEnd"/>
        <w:r w:rsidR="00830D61" w:rsidRPr="003712F9">
          <w:rPr>
            <w:rStyle w:val="Hyperlink"/>
            <w:rFonts w:cstheme="minorHAnsi"/>
            <w:lang w:val="en"/>
          </w:rPr>
          <w:t xml:space="preserve"> </w:t>
        </w:r>
        <w:proofErr w:type="spellStart"/>
        <w:r w:rsidR="00830D61" w:rsidRPr="003712F9">
          <w:rPr>
            <w:rStyle w:val="Hyperlink"/>
            <w:rFonts w:cstheme="minorHAnsi"/>
            <w:lang w:val="en"/>
          </w:rPr>
          <w:t>lymphohistiocytosis</w:t>
        </w:r>
        <w:proofErr w:type="spellEnd"/>
        <w:r w:rsidR="00830D61" w:rsidRPr="003712F9">
          <w:rPr>
            <w:rStyle w:val="Hyperlink"/>
            <w:rFonts w:cstheme="minorHAnsi"/>
            <w:lang w:val="en"/>
          </w:rPr>
          <w:t xml:space="preserve"> with intravenous steroids and γ-immunoglobulin infusions,” by Sarah </w:t>
        </w:r>
        <w:proofErr w:type="spellStart"/>
        <w:r w:rsidR="00830D61" w:rsidRPr="003712F9">
          <w:rPr>
            <w:rStyle w:val="Hyperlink"/>
            <w:rFonts w:cstheme="minorHAnsi"/>
            <w:lang w:val="en"/>
          </w:rPr>
          <w:t>Georgiadou</w:t>
        </w:r>
        <w:proofErr w:type="spellEnd"/>
        <w:r w:rsidR="00830D61" w:rsidRPr="003712F9">
          <w:rPr>
            <w:rStyle w:val="Hyperlink"/>
            <w:rFonts w:cstheme="minorHAnsi"/>
            <w:lang w:val="en"/>
          </w:rPr>
          <w:t xml:space="preserve">, Nikolaos K. </w:t>
        </w:r>
        <w:proofErr w:type="spellStart"/>
        <w:r w:rsidR="00830D61" w:rsidRPr="003712F9">
          <w:rPr>
            <w:rStyle w:val="Hyperlink"/>
            <w:rFonts w:cstheme="minorHAnsi"/>
            <w:lang w:val="en"/>
          </w:rPr>
          <w:t>Gatselis</w:t>
        </w:r>
        <w:proofErr w:type="spellEnd"/>
        <w:r w:rsidR="00830D61" w:rsidRPr="003712F9">
          <w:rPr>
            <w:rStyle w:val="Hyperlink"/>
            <w:rFonts w:cstheme="minorHAnsi"/>
            <w:lang w:val="en"/>
          </w:rPr>
          <w:t xml:space="preserve">, </w:t>
        </w:r>
        <w:proofErr w:type="spellStart"/>
        <w:r w:rsidR="00830D61" w:rsidRPr="003712F9">
          <w:rPr>
            <w:rStyle w:val="Hyperlink"/>
            <w:rFonts w:cstheme="minorHAnsi"/>
            <w:lang w:val="en"/>
          </w:rPr>
          <w:t>Aggelos</w:t>
        </w:r>
        <w:proofErr w:type="spellEnd"/>
        <w:r w:rsidR="00830D61" w:rsidRPr="003712F9">
          <w:rPr>
            <w:rStyle w:val="Hyperlink"/>
            <w:rFonts w:cstheme="minorHAnsi"/>
            <w:lang w:val="en"/>
          </w:rPr>
          <w:t xml:space="preserve"> </w:t>
        </w:r>
        <w:proofErr w:type="spellStart"/>
        <w:r w:rsidR="00830D61" w:rsidRPr="003712F9">
          <w:rPr>
            <w:rStyle w:val="Hyperlink"/>
            <w:rFonts w:cstheme="minorHAnsi"/>
            <w:lang w:val="en"/>
          </w:rPr>
          <w:t>Stefos</w:t>
        </w:r>
        <w:proofErr w:type="spellEnd"/>
        <w:r w:rsidR="00830D61" w:rsidRPr="003712F9">
          <w:rPr>
            <w:rStyle w:val="Hyperlink"/>
            <w:rFonts w:cstheme="minorHAnsi"/>
            <w:lang w:val="en"/>
          </w:rPr>
          <w:t xml:space="preserve">, Konstantinos </w:t>
        </w:r>
        <w:proofErr w:type="spellStart"/>
        <w:r w:rsidR="00830D61" w:rsidRPr="003712F9">
          <w:rPr>
            <w:rStyle w:val="Hyperlink"/>
            <w:rFonts w:cstheme="minorHAnsi"/>
            <w:lang w:val="en"/>
          </w:rPr>
          <w:t>Makaritsis</w:t>
        </w:r>
        <w:proofErr w:type="spellEnd"/>
        <w:r w:rsidR="00830D61" w:rsidRPr="003712F9">
          <w:rPr>
            <w:rStyle w:val="Hyperlink"/>
            <w:rFonts w:cstheme="minorHAnsi"/>
            <w:lang w:val="en"/>
          </w:rPr>
          <w:t xml:space="preserve">, Eirini I. </w:t>
        </w:r>
        <w:proofErr w:type="spellStart"/>
        <w:r w:rsidR="00830D61" w:rsidRPr="003712F9">
          <w:rPr>
            <w:rStyle w:val="Hyperlink"/>
            <w:rFonts w:cstheme="minorHAnsi"/>
            <w:lang w:val="en"/>
          </w:rPr>
          <w:t>Rigopoulou</w:t>
        </w:r>
        <w:proofErr w:type="spellEnd"/>
        <w:r w:rsidR="00830D61" w:rsidRPr="003712F9">
          <w:rPr>
            <w:rStyle w:val="Hyperlink"/>
            <w:rFonts w:cstheme="minorHAnsi"/>
            <w:lang w:val="en"/>
          </w:rPr>
          <w:t xml:space="preserve">, and George N. </w:t>
        </w:r>
        <w:proofErr w:type="spellStart"/>
        <w:r w:rsidR="00830D61" w:rsidRPr="003712F9">
          <w:rPr>
            <w:rStyle w:val="Hyperlink"/>
            <w:rFonts w:cstheme="minorHAnsi"/>
            <w:lang w:val="en"/>
          </w:rPr>
          <w:t>Dalekos</w:t>
        </w:r>
        <w:proofErr w:type="spellEnd"/>
        <w:r w:rsidR="00830D61" w:rsidRPr="003712F9">
          <w:rPr>
            <w:rStyle w:val="Hyperlink"/>
            <w:rFonts w:cstheme="minorHAnsi"/>
            <w:lang w:val="en"/>
          </w:rPr>
          <w:t xml:space="preserve"> in </w:t>
        </w:r>
        <w:r w:rsidR="00830D61" w:rsidRPr="003712F9">
          <w:rPr>
            <w:rStyle w:val="Hyperlink"/>
            <w:rFonts w:cstheme="minorHAnsi"/>
            <w:i/>
            <w:iCs/>
            <w:lang w:val="en"/>
          </w:rPr>
          <w:t xml:space="preserve">World Journal of Clinical Cases, </w:t>
        </w:r>
        <w:r w:rsidR="00830D61" w:rsidRPr="003712F9">
          <w:rPr>
            <w:rStyle w:val="Hyperlink"/>
            <w:rFonts w:cstheme="minorHAnsi"/>
            <w:lang w:val="en"/>
          </w:rPr>
          <w:t>November 6, 2019</w:t>
        </w:r>
      </w:hyperlink>
    </w:p>
    <w:p w14:paraId="53CBCD94" w14:textId="77777777" w:rsidR="00830D61" w:rsidRPr="009C6FED" w:rsidRDefault="002C1C65" w:rsidP="00830D61">
      <w:pPr>
        <w:pStyle w:val="ListParagraph"/>
        <w:numPr>
          <w:ilvl w:val="0"/>
          <w:numId w:val="31"/>
        </w:numPr>
        <w:spacing w:line="240" w:lineRule="auto"/>
        <w:rPr>
          <w:rFonts w:cstheme="minorHAnsi"/>
          <w:color w:val="222222"/>
        </w:rPr>
      </w:pPr>
      <w:hyperlink r:id="rId16" w:anchor=".XoZC2ohKiUm" w:history="1">
        <w:r w:rsidR="00830D61" w:rsidRPr="003712F9">
          <w:rPr>
            <w:rStyle w:val="Hyperlink"/>
            <w:rFonts w:cstheme="minorHAnsi"/>
          </w:rPr>
          <w:t xml:space="preserve">“Hemophagocytic Syndromes” from the </w:t>
        </w:r>
        <w:r w:rsidR="00830D61" w:rsidRPr="003712F9">
          <w:rPr>
            <w:rStyle w:val="Hyperlink"/>
            <w:rFonts w:cstheme="minorHAnsi"/>
            <w:i/>
            <w:iCs/>
          </w:rPr>
          <w:t>Histiocytosis Association</w:t>
        </w:r>
      </w:hyperlink>
      <w:r w:rsidR="00830D61">
        <w:rPr>
          <w:rFonts w:cstheme="minorHAnsi"/>
          <w:i/>
          <w:iCs/>
        </w:rPr>
        <w:t xml:space="preserve"> </w:t>
      </w:r>
    </w:p>
    <w:p w14:paraId="5E362CA0" w14:textId="01287857" w:rsidR="00830D61" w:rsidRPr="00830D61" w:rsidRDefault="002C1C65" w:rsidP="00830D61">
      <w:pPr>
        <w:pStyle w:val="ListParagraph"/>
        <w:numPr>
          <w:ilvl w:val="0"/>
          <w:numId w:val="31"/>
        </w:numPr>
        <w:spacing w:line="240" w:lineRule="auto"/>
        <w:rPr>
          <w:rFonts w:cstheme="minorHAnsi"/>
          <w:color w:val="222222"/>
        </w:rPr>
      </w:pPr>
      <w:hyperlink r:id="rId17" w:history="1">
        <w:r w:rsidR="00830D61" w:rsidRPr="003712F9">
          <w:rPr>
            <w:rStyle w:val="Hyperlink"/>
            <w:rFonts w:cstheme="minorHAnsi"/>
          </w:rPr>
          <w:t xml:space="preserve">“Predictors of mortality of severe sepsis among adult patients in the medical intensive care unit,” by Aziz </w:t>
        </w:r>
        <w:proofErr w:type="spellStart"/>
        <w:r w:rsidR="00830D61" w:rsidRPr="003712F9">
          <w:rPr>
            <w:rStyle w:val="Hyperlink"/>
            <w:rFonts w:cstheme="minorHAnsi"/>
          </w:rPr>
          <w:t>Kallikunnel</w:t>
        </w:r>
        <w:proofErr w:type="spellEnd"/>
        <w:r w:rsidR="00830D61" w:rsidRPr="003712F9">
          <w:rPr>
            <w:rStyle w:val="Hyperlink"/>
            <w:rFonts w:cstheme="minorHAnsi"/>
          </w:rPr>
          <w:t xml:space="preserve"> Sayed Mohamed, </w:t>
        </w:r>
        <w:proofErr w:type="spellStart"/>
        <w:r w:rsidR="00830D61" w:rsidRPr="003712F9">
          <w:rPr>
            <w:rStyle w:val="Hyperlink"/>
            <w:rFonts w:cstheme="minorHAnsi"/>
          </w:rPr>
          <w:t>Asmita</w:t>
        </w:r>
        <w:proofErr w:type="spellEnd"/>
        <w:r w:rsidR="00830D61" w:rsidRPr="003712F9">
          <w:rPr>
            <w:rStyle w:val="Hyperlink"/>
            <w:rFonts w:cstheme="minorHAnsi"/>
          </w:rPr>
          <w:t xml:space="preserve"> </w:t>
        </w:r>
        <w:proofErr w:type="spellStart"/>
        <w:r w:rsidR="00830D61" w:rsidRPr="003712F9">
          <w:rPr>
            <w:rStyle w:val="Hyperlink"/>
            <w:rFonts w:cstheme="minorHAnsi"/>
          </w:rPr>
          <w:t>Anikumar</w:t>
        </w:r>
        <w:proofErr w:type="spellEnd"/>
        <w:r w:rsidR="00830D61" w:rsidRPr="003712F9">
          <w:rPr>
            <w:rStyle w:val="Hyperlink"/>
            <w:rFonts w:cstheme="minorHAnsi"/>
          </w:rPr>
          <w:t xml:space="preserve"> Mehta, and </w:t>
        </w:r>
        <w:proofErr w:type="spellStart"/>
        <w:r w:rsidR="00830D61" w:rsidRPr="003712F9">
          <w:rPr>
            <w:rStyle w:val="Hyperlink"/>
            <w:rFonts w:cstheme="minorHAnsi"/>
          </w:rPr>
          <w:t>Ponneduthamkuzhy</w:t>
        </w:r>
        <w:proofErr w:type="spellEnd"/>
        <w:r w:rsidR="00830D61" w:rsidRPr="003712F9">
          <w:rPr>
            <w:rStyle w:val="Hyperlink"/>
            <w:rFonts w:cstheme="minorHAnsi"/>
          </w:rPr>
          <w:t xml:space="preserve"> James in </w:t>
        </w:r>
        <w:r w:rsidR="00830D61" w:rsidRPr="003712F9">
          <w:rPr>
            <w:rStyle w:val="Hyperlink"/>
            <w:rFonts w:cstheme="minorHAnsi"/>
            <w:i/>
            <w:iCs/>
          </w:rPr>
          <w:t>Lung India</w:t>
        </w:r>
        <w:r w:rsidR="00830D61" w:rsidRPr="003712F9">
          <w:rPr>
            <w:rStyle w:val="Hyperlink"/>
            <w:rFonts w:cstheme="minorHAnsi"/>
          </w:rPr>
          <w:t>, July/August 2017</w:t>
        </w:r>
      </w:hyperlink>
    </w:p>
    <w:p w14:paraId="5F5AE41E" w14:textId="09EDBD75" w:rsidR="00830D61" w:rsidRPr="009C6FED" w:rsidRDefault="00830D61" w:rsidP="00830D61">
      <w:pPr>
        <w:spacing w:line="240" w:lineRule="auto"/>
        <w:rPr>
          <w:rFonts w:cstheme="minorHAnsi"/>
          <w:i/>
          <w:iCs/>
          <w:color w:val="0000FF"/>
          <w:u w:val="single"/>
        </w:rPr>
      </w:pPr>
      <w:r w:rsidRPr="009C6FED">
        <w:rPr>
          <w:rFonts w:cstheme="minorHAnsi"/>
          <w:b/>
          <w:bCs/>
          <w:i/>
          <w:iCs/>
        </w:rPr>
        <w:t>Editor’s note:</w:t>
      </w:r>
      <w:r w:rsidRPr="009C6FED">
        <w:rPr>
          <w:rFonts w:cstheme="minorHAnsi"/>
          <w:i/>
          <w:iCs/>
        </w:rPr>
        <w:t xml:space="preserve"> Valdez is a CDI education specialist at </w:t>
      </w:r>
      <w:proofErr w:type="spellStart"/>
      <w:r w:rsidRPr="009C6FED">
        <w:rPr>
          <w:rFonts w:cstheme="minorHAnsi"/>
          <w:i/>
          <w:iCs/>
        </w:rPr>
        <w:t>HCPro</w:t>
      </w:r>
      <w:proofErr w:type="spellEnd"/>
      <w:r w:rsidRPr="009C6FED">
        <w:rPr>
          <w:rFonts w:cstheme="minorHAnsi"/>
          <w:i/>
          <w:iCs/>
        </w:rPr>
        <w:t xml:space="preserve"> in Middleton, Massachusetts. Contact her a</w:t>
      </w:r>
      <w:r w:rsidR="006E2D28">
        <w:rPr>
          <w:rFonts w:cstheme="minorHAnsi"/>
          <w:i/>
          <w:iCs/>
        </w:rPr>
        <w:t xml:space="preserve">t </w:t>
      </w:r>
      <w:hyperlink r:id="rId18" w:history="1">
        <w:r w:rsidR="006E2D28" w:rsidRPr="009D1907">
          <w:rPr>
            <w:rStyle w:val="Hyperlink"/>
            <w:rFonts w:cstheme="minorHAnsi"/>
            <w:i/>
            <w:iCs/>
          </w:rPr>
          <w:t>dvaldez@hcpro.com</w:t>
        </w:r>
      </w:hyperlink>
      <w:r w:rsidR="006E2D28">
        <w:rPr>
          <w:rFonts w:cstheme="minorHAnsi"/>
          <w:i/>
          <w:iCs/>
        </w:rPr>
        <w:t xml:space="preserve">. </w:t>
      </w:r>
    </w:p>
    <w:p w14:paraId="49E19DB9" w14:textId="75895EA6" w:rsidR="009E5177" w:rsidRPr="00830D61" w:rsidRDefault="009E5177" w:rsidP="00830D61"/>
    <w:sectPr w:rsidR="009E5177" w:rsidRPr="00830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8637" w14:textId="77777777" w:rsidR="002C1C65" w:rsidRDefault="002C1C65">
      <w:pPr>
        <w:spacing w:after="0" w:line="240" w:lineRule="auto"/>
      </w:pPr>
      <w:r>
        <w:separator/>
      </w:r>
    </w:p>
  </w:endnote>
  <w:endnote w:type="continuationSeparator" w:id="0">
    <w:p w14:paraId="6BF6BBFF" w14:textId="77777777" w:rsidR="002C1C65" w:rsidRDefault="002C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A52A" w14:textId="77777777" w:rsidR="002C1C65" w:rsidRDefault="002C1C65">
      <w:pPr>
        <w:spacing w:after="0" w:line="240" w:lineRule="auto"/>
      </w:pPr>
      <w:r>
        <w:separator/>
      </w:r>
    </w:p>
  </w:footnote>
  <w:footnote w:type="continuationSeparator" w:id="0">
    <w:p w14:paraId="3564538E" w14:textId="77777777" w:rsidR="002C1C65" w:rsidRDefault="002C1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60F"/>
    <w:multiLevelType w:val="hybridMultilevel"/>
    <w:tmpl w:val="BF74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4364"/>
    <w:multiLevelType w:val="hybridMultilevel"/>
    <w:tmpl w:val="180E3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4F6"/>
    <w:multiLevelType w:val="hybridMultilevel"/>
    <w:tmpl w:val="8A02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E3D14"/>
    <w:multiLevelType w:val="hybridMultilevel"/>
    <w:tmpl w:val="BE14A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57EB8"/>
    <w:multiLevelType w:val="hybridMultilevel"/>
    <w:tmpl w:val="55F2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5B00"/>
    <w:multiLevelType w:val="hybridMultilevel"/>
    <w:tmpl w:val="BAAC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167E4"/>
    <w:multiLevelType w:val="hybridMultilevel"/>
    <w:tmpl w:val="A6BC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F783F"/>
    <w:multiLevelType w:val="hybridMultilevel"/>
    <w:tmpl w:val="9392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237EC"/>
    <w:multiLevelType w:val="hybridMultilevel"/>
    <w:tmpl w:val="1608B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8828F8"/>
    <w:multiLevelType w:val="hybridMultilevel"/>
    <w:tmpl w:val="DB62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A47CE"/>
    <w:multiLevelType w:val="hybridMultilevel"/>
    <w:tmpl w:val="DAA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D754E"/>
    <w:multiLevelType w:val="multilevel"/>
    <w:tmpl w:val="FA0E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56EAA"/>
    <w:multiLevelType w:val="hybridMultilevel"/>
    <w:tmpl w:val="841CB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93DE1"/>
    <w:multiLevelType w:val="hybridMultilevel"/>
    <w:tmpl w:val="60E00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EE0E36"/>
    <w:multiLevelType w:val="hybridMultilevel"/>
    <w:tmpl w:val="DC0A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3137E"/>
    <w:multiLevelType w:val="hybridMultilevel"/>
    <w:tmpl w:val="D17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57D2E"/>
    <w:multiLevelType w:val="hybridMultilevel"/>
    <w:tmpl w:val="23446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65ACB"/>
    <w:multiLevelType w:val="hybridMultilevel"/>
    <w:tmpl w:val="D158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13B03"/>
    <w:multiLevelType w:val="hybridMultilevel"/>
    <w:tmpl w:val="62BE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44BE0"/>
    <w:multiLevelType w:val="hybridMultilevel"/>
    <w:tmpl w:val="50CAB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00669"/>
    <w:multiLevelType w:val="hybridMultilevel"/>
    <w:tmpl w:val="43209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F5C44"/>
    <w:multiLevelType w:val="hybridMultilevel"/>
    <w:tmpl w:val="AEDE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B1458"/>
    <w:multiLevelType w:val="hybridMultilevel"/>
    <w:tmpl w:val="761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81AB7"/>
    <w:multiLevelType w:val="hybridMultilevel"/>
    <w:tmpl w:val="E5A0C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81CFF"/>
    <w:multiLevelType w:val="hybridMultilevel"/>
    <w:tmpl w:val="226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53511"/>
    <w:multiLevelType w:val="hybridMultilevel"/>
    <w:tmpl w:val="182A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0191A"/>
    <w:multiLevelType w:val="hybridMultilevel"/>
    <w:tmpl w:val="54886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A3DA7"/>
    <w:multiLevelType w:val="hybridMultilevel"/>
    <w:tmpl w:val="C5AE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B1D9D"/>
    <w:multiLevelType w:val="hybridMultilevel"/>
    <w:tmpl w:val="9F40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D22DF"/>
    <w:multiLevelType w:val="hybridMultilevel"/>
    <w:tmpl w:val="DEF27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5F2B"/>
    <w:multiLevelType w:val="hybridMultilevel"/>
    <w:tmpl w:val="A3545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F64E8"/>
    <w:multiLevelType w:val="hybridMultilevel"/>
    <w:tmpl w:val="B51C6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2"/>
  </w:num>
  <w:num w:numId="4">
    <w:abstractNumId w:val="19"/>
  </w:num>
  <w:num w:numId="5">
    <w:abstractNumId w:val="1"/>
  </w:num>
  <w:num w:numId="6">
    <w:abstractNumId w:val="2"/>
  </w:num>
  <w:num w:numId="7">
    <w:abstractNumId w:val="27"/>
  </w:num>
  <w:num w:numId="8">
    <w:abstractNumId w:val="4"/>
  </w:num>
  <w:num w:numId="9">
    <w:abstractNumId w:val="17"/>
  </w:num>
  <w:num w:numId="10">
    <w:abstractNumId w:val="31"/>
  </w:num>
  <w:num w:numId="11">
    <w:abstractNumId w:val="3"/>
  </w:num>
  <w:num w:numId="12">
    <w:abstractNumId w:val="9"/>
  </w:num>
  <w:num w:numId="13">
    <w:abstractNumId w:val="13"/>
  </w:num>
  <w:num w:numId="14">
    <w:abstractNumId w:val="6"/>
  </w:num>
  <w:num w:numId="15">
    <w:abstractNumId w:val="8"/>
  </w:num>
  <w:num w:numId="16">
    <w:abstractNumId w:val="20"/>
  </w:num>
  <w:num w:numId="17">
    <w:abstractNumId w:val="29"/>
  </w:num>
  <w:num w:numId="18">
    <w:abstractNumId w:val="24"/>
  </w:num>
  <w:num w:numId="19">
    <w:abstractNumId w:val="0"/>
  </w:num>
  <w:num w:numId="20">
    <w:abstractNumId w:val="5"/>
  </w:num>
  <w:num w:numId="21">
    <w:abstractNumId w:val="25"/>
  </w:num>
  <w:num w:numId="22">
    <w:abstractNumId w:val="28"/>
  </w:num>
  <w:num w:numId="23">
    <w:abstractNumId w:val="14"/>
  </w:num>
  <w:num w:numId="24">
    <w:abstractNumId w:val="12"/>
  </w:num>
  <w:num w:numId="25">
    <w:abstractNumId w:val="7"/>
  </w:num>
  <w:num w:numId="26">
    <w:abstractNumId w:val="18"/>
  </w:num>
  <w:num w:numId="27">
    <w:abstractNumId w:val="11"/>
  </w:num>
  <w:num w:numId="28">
    <w:abstractNumId w:val="10"/>
  </w:num>
  <w:num w:numId="29">
    <w:abstractNumId w:val="30"/>
  </w:num>
  <w:num w:numId="30">
    <w:abstractNumId w:val="16"/>
  </w:num>
  <w:num w:numId="31">
    <w:abstractNumId w:val="15"/>
  </w:num>
  <w:num w:numId="3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30"/>
    <w:rsid w:val="00007D8F"/>
    <w:rsid w:val="00012B36"/>
    <w:rsid w:val="00034992"/>
    <w:rsid w:val="00047239"/>
    <w:rsid w:val="00060EFA"/>
    <w:rsid w:val="00060F92"/>
    <w:rsid w:val="0006602B"/>
    <w:rsid w:val="000D2451"/>
    <w:rsid w:val="000F4500"/>
    <w:rsid w:val="00113797"/>
    <w:rsid w:val="00135281"/>
    <w:rsid w:val="00152861"/>
    <w:rsid w:val="00157F81"/>
    <w:rsid w:val="00163F9B"/>
    <w:rsid w:val="0020052B"/>
    <w:rsid w:val="002304FA"/>
    <w:rsid w:val="00231DD6"/>
    <w:rsid w:val="00252614"/>
    <w:rsid w:val="002B1E17"/>
    <w:rsid w:val="002C1C65"/>
    <w:rsid w:val="002D4DBE"/>
    <w:rsid w:val="002E70DB"/>
    <w:rsid w:val="002F75F0"/>
    <w:rsid w:val="0031526A"/>
    <w:rsid w:val="00324828"/>
    <w:rsid w:val="00341D86"/>
    <w:rsid w:val="00344975"/>
    <w:rsid w:val="00345C94"/>
    <w:rsid w:val="0036318D"/>
    <w:rsid w:val="00363AED"/>
    <w:rsid w:val="00365652"/>
    <w:rsid w:val="003712F9"/>
    <w:rsid w:val="00371819"/>
    <w:rsid w:val="003D1D44"/>
    <w:rsid w:val="003E485B"/>
    <w:rsid w:val="00401703"/>
    <w:rsid w:val="004110C2"/>
    <w:rsid w:val="00452C19"/>
    <w:rsid w:val="00460CE3"/>
    <w:rsid w:val="00491CF2"/>
    <w:rsid w:val="004934BD"/>
    <w:rsid w:val="004A1D01"/>
    <w:rsid w:val="004D3E60"/>
    <w:rsid w:val="004E3677"/>
    <w:rsid w:val="004F4610"/>
    <w:rsid w:val="005408AF"/>
    <w:rsid w:val="005514F3"/>
    <w:rsid w:val="00555B00"/>
    <w:rsid w:val="00556476"/>
    <w:rsid w:val="00571110"/>
    <w:rsid w:val="005C00EC"/>
    <w:rsid w:val="005C3585"/>
    <w:rsid w:val="005E14D4"/>
    <w:rsid w:val="0060505E"/>
    <w:rsid w:val="0062542D"/>
    <w:rsid w:val="006273B0"/>
    <w:rsid w:val="006344A4"/>
    <w:rsid w:val="00637F88"/>
    <w:rsid w:val="00643CAC"/>
    <w:rsid w:val="00664050"/>
    <w:rsid w:val="00682C96"/>
    <w:rsid w:val="006A4F56"/>
    <w:rsid w:val="006D43F6"/>
    <w:rsid w:val="006E02E4"/>
    <w:rsid w:val="006E2379"/>
    <w:rsid w:val="006E2D28"/>
    <w:rsid w:val="00715000"/>
    <w:rsid w:val="007471E0"/>
    <w:rsid w:val="00747A4C"/>
    <w:rsid w:val="0076406D"/>
    <w:rsid w:val="007715E4"/>
    <w:rsid w:val="007739C5"/>
    <w:rsid w:val="00787CDC"/>
    <w:rsid w:val="007A3E76"/>
    <w:rsid w:val="007C7FD1"/>
    <w:rsid w:val="007D48A1"/>
    <w:rsid w:val="007E17B8"/>
    <w:rsid w:val="00807FC9"/>
    <w:rsid w:val="00830D61"/>
    <w:rsid w:val="00833946"/>
    <w:rsid w:val="0085190F"/>
    <w:rsid w:val="00862A49"/>
    <w:rsid w:val="00872CD0"/>
    <w:rsid w:val="008770EC"/>
    <w:rsid w:val="008903BA"/>
    <w:rsid w:val="008A289F"/>
    <w:rsid w:val="008B2DF9"/>
    <w:rsid w:val="008B4745"/>
    <w:rsid w:val="009259F9"/>
    <w:rsid w:val="00934A7C"/>
    <w:rsid w:val="00941E34"/>
    <w:rsid w:val="009714C9"/>
    <w:rsid w:val="00982E0B"/>
    <w:rsid w:val="00993C40"/>
    <w:rsid w:val="009C6FED"/>
    <w:rsid w:val="009D35F0"/>
    <w:rsid w:val="009E5177"/>
    <w:rsid w:val="009E63B2"/>
    <w:rsid w:val="00A206AD"/>
    <w:rsid w:val="00A20D82"/>
    <w:rsid w:val="00A24362"/>
    <w:rsid w:val="00A64A3B"/>
    <w:rsid w:val="00A70C42"/>
    <w:rsid w:val="00A73FD1"/>
    <w:rsid w:val="00A93356"/>
    <w:rsid w:val="00AC611F"/>
    <w:rsid w:val="00AC62D3"/>
    <w:rsid w:val="00AE2283"/>
    <w:rsid w:val="00AF1FD6"/>
    <w:rsid w:val="00B12473"/>
    <w:rsid w:val="00B147CF"/>
    <w:rsid w:val="00B8306F"/>
    <w:rsid w:val="00B859D2"/>
    <w:rsid w:val="00BA6362"/>
    <w:rsid w:val="00BE13B8"/>
    <w:rsid w:val="00C04926"/>
    <w:rsid w:val="00C26703"/>
    <w:rsid w:val="00C47B42"/>
    <w:rsid w:val="00C55A31"/>
    <w:rsid w:val="00C57361"/>
    <w:rsid w:val="00C66132"/>
    <w:rsid w:val="00CF13B7"/>
    <w:rsid w:val="00CF603C"/>
    <w:rsid w:val="00D13ED5"/>
    <w:rsid w:val="00D31594"/>
    <w:rsid w:val="00D42E5A"/>
    <w:rsid w:val="00D46764"/>
    <w:rsid w:val="00D83DF4"/>
    <w:rsid w:val="00D84430"/>
    <w:rsid w:val="00D90CEE"/>
    <w:rsid w:val="00DA0699"/>
    <w:rsid w:val="00DB1FAA"/>
    <w:rsid w:val="00DB6167"/>
    <w:rsid w:val="00E174FD"/>
    <w:rsid w:val="00E403AC"/>
    <w:rsid w:val="00E4367D"/>
    <w:rsid w:val="00E50D0E"/>
    <w:rsid w:val="00EC64BE"/>
    <w:rsid w:val="00EE4038"/>
    <w:rsid w:val="00EF6899"/>
    <w:rsid w:val="00F27E43"/>
    <w:rsid w:val="00F52A64"/>
    <w:rsid w:val="00F52BB8"/>
    <w:rsid w:val="00FC573F"/>
    <w:rsid w:val="00FE0081"/>
    <w:rsid w:val="00FE514E"/>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6CFBB"/>
  <w15:chartTrackingRefBased/>
  <w15:docId w15:val="{0187E120-2E6C-4606-AFBB-866C53B2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430"/>
    <w:rPr>
      <w:color w:val="0000FF"/>
      <w:u w:val="single"/>
    </w:rPr>
  </w:style>
  <w:style w:type="paragraph" w:styleId="ListParagraph">
    <w:name w:val="List Paragraph"/>
    <w:basedOn w:val="Normal"/>
    <w:uiPriority w:val="34"/>
    <w:qFormat/>
    <w:rsid w:val="00D84430"/>
    <w:pPr>
      <w:ind w:left="720"/>
      <w:contextualSpacing/>
    </w:pPr>
  </w:style>
  <w:style w:type="character" w:customStyle="1" w:styleId="h23">
    <w:name w:val="h23"/>
    <w:basedOn w:val="DefaultParagraphFont"/>
    <w:rsid w:val="00D84430"/>
    <w:rPr>
      <w:b/>
      <w:bCs/>
    </w:rPr>
  </w:style>
  <w:style w:type="character" w:customStyle="1" w:styleId="headingendmark">
    <w:name w:val="headingendmark"/>
    <w:basedOn w:val="DefaultParagraphFont"/>
    <w:rsid w:val="00D84430"/>
  </w:style>
  <w:style w:type="paragraph" w:styleId="Header">
    <w:name w:val="header"/>
    <w:basedOn w:val="Normal"/>
    <w:link w:val="HeaderChar"/>
    <w:uiPriority w:val="99"/>
    <w:unhideWhenUsed/>
    <w:rsid w:val="00D8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30"/>
  </w:style>
  <w:style w:type="paragraph" w:styleId="Footer">
    <w:name w:val="footer"/>
    <w:basedOn w:val="Normal"/>
    <w:link w:val="FooterChar"/>
    <w:uiPriority w:val="99"/>
    <w:unhideWhenUsed/>
    <w:rsid w:val="00D84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430"/>
  </w:style>
  <w:style w:type="character" w:styleId="CommentReference">
    <w:name w:val="annotation reference"/>
    <w:basedOn w:val="DefaultParagraphFont"/>
    <w:uiPriority w:val="99"/>
    <w:semiHidden/>
    <w:unhideWhenUsed/>
    <w:rsid w:val="00D84430"/>
    <w:rPr>
      <w:sz w:val="16"/>
      <w:szCs w:val="16"/>
    </w:rPr>
  </w:style>
  <w:style w:type="paragraph" w:styleId="CommentText">
    <w:name w:val="annotation text"/>
    <w:basedOn w:val="Normal"/>
    <w:link w:val="CommentTextChar"/>
    <w:uiPriority w:val="99"/>
    <w:semiHidden/>
    <w:unhideWhenUsed/>
    <w:rsid w:val="00D84430"/>
    <w:pPr>
      <w:spacing w:line="240" w:lineRule="auto"/>
    </w:pPr>
    <w:rPr>
      <w:sz w:val="20"/>
      <w:szCs w:val="20"/>
    </w:rPr>
  </w:style>
  <w:style w:type="character" w:customStyle="1" w:styleId="CommentTextChar">
    <w:name w:val="Comment Text Char"/>
    <w:basedOn w:val="DefaultParagraphFont"/>
    <w:link w:val="CommentText"/>
    <w:uiPriority w:val="99"/>
    <w:semiHidden/>
    <w:rsid w:val="00D84430"/>
    <w:rPr>
      <w:sz w:val="20"/>
      <w:szCs w:val="20"/>
    </w:rPr>
  </w:style>
  <w:style w:type="paragraph" w:styleId="BalloonText">
    <w:name w:val="Balloon Text"/>
    <w:basedOn w:val="Normal"/>
    <w:link w:val="BalloonTextChar"/>
    <w:uiPriority w:val="99"/>
    <w:semiHidden/>
    <w:unhideWhenUsed/>
    <w:rsid w:val="00D84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4430"/>
    <w:rPr>
      <w:b/>
      <w:bCs/>
    </w:rPr>
  </w:style>
  <w:style w:type="character" w:customStyle="1" w:styleId="CommentSubjectChar">
    <w:name w:val="Comment Subject Char"/>
    <w:basedOn w:val="CommentTextChar"/>
    <w:link w:val="CommentSubject"/>
    <w:uiPriority w:val="99"/>
    <w:semiHidden/>
    <w:rsid w:val="00D84430"/>
    <w:rPr>
      <w:b/>
      <w:bCs/>
      <w:sz w:val="20"/>
      <w:szCs w:val="20"/>
    </w:rPr>
  </w:style>
  <w:style w:type="character" w:styleId="UnresolvedMention">
    <w:name w:val="Unresolved Mention"/>
    <w:basedOn w:val="DefaultParagraphFont"/>
    <w:uiPriority w:val="99"/>
    <w:semiHidden/>
    <w:unhideWhenUsed/>
    <w:rsid w:val="005408AF"/>
    <w:rPr>
      <w:color w:val="605E5C"/>
      <w:shd w:val="clear" w:color="auto" w:fill="E1DFDD"/>
    </w:rPr>
  </w:style>
  <w:style w:type="character" w:styleId="Strong">
    <w:name w:val="Strong"/>
    <w:basedOn w:val="DefaultParagraphFont"/>
    <w:uiPriority w:val="22"/>
    <w:qFormat/>
    <w:rsid w:val="006D43F6"/>
    <w:rPr>
      <w:b/>
      <w:bCs/>
    </w:rPr>
  </w:style>
  <w:style w:type="character" w:customStyle="1" w:styleId="e24kjd">
    <w:name w:val="e24kjd"/>
    <w:basedOn w:val="DefaultParagraphFont"/>
    <w:rsid w:val="00012B36"/>
  </w:style>
  <w:style w:type="character" w:styleId="FollowedHyperlink">
    <w:name w:val="FollowedHyperlink"/>
    <w:basedOn w:val="DefaultParagraphFont"/>
    <w:uiPriority w:val="99"/>
    <w:semiHidden/>
    <w:unhideWhenUsed/>
    <w:rsid w:val="00971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2284">
      <w:bodyDiv w:val="1"/>
      <w:marLeft w:val="0"/>
      <w:marRight w:val="0"/>
      <w:marTop w:val="0"/>
      <w:marBottom w:val="0"/>
      <w:divBdr>
        <w:top w:val="none" w:sz="0" w:space="0" w:color="auto"/>
        <w:left w:val="none" w:sz="0" w:space="0" w:color="auto"/>
        <w:bottom w:val="none" w:sz="0" w:space="0" w:color="auto"/>
        <w:right w:val="none" w:sz="0" w:space="0" w:color="auto"/>
      </w:divBdr>
      <w:divsChild>
        <w:div w:id="2006127389">
          <w:marLeft w:val="0"/>
          <w:marRight w:val="0"/>
          <w:marTop w:val="0"/>
          <w:marBottom w:val="0"/>
          <w:divBdr>
            <w:top w:val="single" w:sz="6" w:space="8" w:color="DDDDDD"/>
            <w:left w:val="none" w:sz="0" w:space="15" w:color="DDDDDD"/>
            <w:bottom w:val="none" w:sz="0" w:space="8" w:color="DDDDDD"/>
            <w:right w:val="none" w:sz="0" w:space="15" w:color="DDDDDD"/>
          </w:divBdr>
          <w:divsChild>
            <w:div w:id="1079986748">
              <w:marLeft w:val="0"/>
              <w:marRight w:val="240"/>
              <w:marTop w:val="0"/>
              <w:marBottom w:val="0"/>
              <w:divBdr>
                <w:top w:val="none" w:sz="0" w:space="0" w:color="auto"/>
                <w:left w:val="none" w:sz="0" w:space="0" w:color="auto"/>
                <w:bottom w:val="none" w:sz="0" w:space="0" w:color="auto"/>
                <w:right w:val="none" w:sz="0" w:space="0" w:color="auto"/>
              </w:divBdr>
            </w:div>
          </w:divsChild>
        </w:div>
        <w:div w:id="1604458404">
          <w:marLeft w:val="0"/>
          <w:marRight w:val="0"/>
          <w:marTop w:val="0"/>
          <w:marBottom w:val="0"/>
          <w:divBdr>
            <w:top w:val="none" w:sz="0" w:space="0" w:color="auto"/>
            <w:left w:val="none" w:sz="0" w:space="0" w:color="auto"/>
            <w:bottom w:val="none" w:sz="0" w:space="0" w:color="auto"/>
            <w:right w:val="none" w:sz="0" w:space="0" w:color="auto"/>
          </w:divBdr>
          <w:divsChild>
            <w:div w:id="1656061206">
              <w:marLeft w:val="0"/>
              <w:marRight w:val="0"/>
              <w:marTop w:val="0"/>
              <w:marBottom w:val="0"/>
              <w:divBdr>
                <w:top w:val="none" w:sz="0" w:space="0" w:color="auto"/>
                <w:left w:val="none" w:sz="0" w:space="0" w:color="auto"/>
                <w:bottom w:val="none" w:sz="0" w:space="0" w:color="auto"/>
                <w:right w:val="none" w:sz="0" w:space="0" w:color="auto"/>
              </w:divBdr>
              <w:divsChild>
                <w:div w:id="11708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dis.org/acdis-podcast/sepsis-cytokine-release-syndrome-and-covid-19" TargetMode="External"/><Relationship Id="rId13" Type="http://schemas.openxmlformats.org/officeDocument/2006/relationships/hyperlink" Target="https://www.ncbi.nlm.nih.gov/pmc/articles/PMC4816886/" TargetMode="External"/><Relationship Id="rId18" Type="http://schemas.openxmlformats.org/officeDocument/2006/relationships/hyperlink" Target="mailto:dvaldez@hcpro.com" TargetMode="External"/><Relationship Id="rId3" Type="http://schemas.openxmlformats.org/officeDocument/2006/relationships/settings" Target="settings.xml"/><Relationship Id="rId7" Type="http://schemas.openxmlformats.org/officeDocument/2006/relationships/hyperlink" Target="https://www.thelancet.com/pdfs/journals/lancet/PIIS0140-6736(20)30628-0.pdf" TargetMode="External"/><Relationship Id="rId12" Type="http://schemas.openxmlformats.org/officeDocument/2006/relationships/hyperlink" Target="https://acdis.org/acdis-podcast/sepsis-cytokine-release-syndrome-and-covid-19" TargetMode="External"/><Relationship Id="rId17" Type="http://schemas.openxmlformats.org/officeDocument/2006/relationships/hyperlink" Target="https://www.ncbi.nlm.nih.gov/pmc/articles/PMC5504889/" TargetMode="External"/><Relationship Id="rId2" Type="http://schemas.openxmlformats.org/officeDocument/2006/relationships/styles" Target="styles.xml"/><Relationship Id="rId16" Type="http://schemas.openxmlformats.org/officeDocument/2006/relationships/hyperlink" Target="https://www.histio.org/sslpage.aspx?pid=389&amp;gclid=EAIaIQobChMI98K91YvK6AIVEZ-fCh11uAN9EAAYBCAAEgIfGvD_Bw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ancet.com/pdfs/journals/lancet/PIIS0140-6736(20)30628-0.pdf" TargetMode="External"/><Relationship Id="rId5" Type="http://schemas.openxmlformats.org/officeDocument/2006/relationships/footnotes" Target="footnotes.xml"/><Relationship Id="rId15" Type="http://schemas.openxmlformats.org/officeDocument/2006/relationships/hyperlink" Target="https://www.ncbi.nlm.nih.gov/pmc/articles/PMC6854401/" TargetMode="External"/><Relationship Id="rId10" Type="http://schemas.openxmlformats.org/officeDocument/2006/relationships/hyperlink" Target="https://emcrit.org/pulmcrit/sepsis-hlh-overlap-syndrome-shlho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4816886/" TargetMode="External"/><Relationship Id="rId14" Type="http://schemas.openxmlformats.org/officeDocument/2006/relationships/hyperlink" Target="https://emcrit.org/pulmcrit/sepsis-hlh-overlap-syndrome-shl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Valdez</dc:creator>
  <cp:keywords/>
  <dc:description/>
  <cp:lastModifiedBy>Linnea Archibald</cp:lastModifiedBy>
  <cp:revision>2</cp:revision>
  <dcterms:created xsi:type="dcterms:W3CDTF">2020-04-07T20:22:00Z</dcterms:created>
  <dcterms:modified xsi:type="dcterms:W3CDTF">2020-04-07T20:22:00Z</dcterms:modified>
</cp:coreProperties>
</file>